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49E13" w14:textId="3415906B" w:rsidR="00637331" w:rsidRPr="00085D29" w:rsidRDefault="00C81F85">
      <w:pPr>
        <w:rPr>
          <w:rFonts w:cstheme="minorHAnsi"/>
        </w:rPr>
      </w:pPr>
      <w:r>
        <w:rPr>
          <w:rFonts w:ascii="Arial" w:hAnsi="Arial" w:cs="Arial"/>
          <w:noProof/>
          <w:sz w:val="16"/>
          <w:szCs w:val="16"/>
          <w:lang w:eastAsia="it-IT"/>
        </w:rPr>
        <w:drawing>
          <wp:anchor distT="0" distB="0" distL="114300" distR="114300" simplePos="0" relativeHeight="251664384" behindDoc="1" locked="0" layoutInCell="1" allowOverlap="1" wp14:anchorId="0C51B1DB" wp14:editId="3A762448">
            <wp:simplePos x="0" y="0"/>
            <wp:positionH relativeFrom="page">
              <wp:align>left</wp:align>
            </wp:positionH>
            <wp:positionV relativeFrom="paragraph">
              <wp:posOffset>-1041400</wp:posOffset>
            </wp:positionV>
            <wp:extent cx="7578090" cy="1554480"/>
            <wp:effectExtent l="0" t="0" r="0" b="762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090" cy="1554480"/>
                    </a:xfrm>
                    <a:prstGeom prst="rect">
                      <a:avLst/>
                    </a:prstGeom>
                    <a:noFill/>
                  </pic:spPr>
                </pic:pic>
              </a:graphicData>
            </a:graphic>
            <wp14:sizeRelH relativeFrom="page">
              <wp14:pctWidth>0</wp14:pctWidth>
            </wp14:sizeRelH>
            <wp14:sizeRelV relativeFrom="page">
              <wp14:pctHeight>0</wp14:pctHeight>
            </wp14:sizeRelV>
          </wp:anchor>
        </w:drawing>
      </w:r>
      <w:r w:rsidR="004671D4">
        <w:rPr>
          <w:rFonts w:cstheme="minorHAnsi"/>
        </w:rPr>
        <w:t xml:space="preserve"> </w:t>
      </w:r>
    </w:p>
    <w:p w14:paraId="01FC6655" w14:textId="77C99A73" w:rsidR="00201DD0" w:rsidRPr="00085D29" w:rsidRDefault="00201DD0">
      <w:pPr>
        <w:rPr>
          <w:rFonts w:cstheme="minorHAnsi"/>
        </w:rPr>
      </w:pPr>
    </w:p>
    <w:p w14:paraId="3A35DD73" w14:textId="3F7D589F" w:rsidR="00201DD0" w:rsidRPr="00085D29" w:rsidRDefault="00201DD0">
      <w:pPr>
        <w:rPr>
          <w:rFonts w:cstheme="minorHAnsi"/>
        </w:rPr>
      </w:pPr>
    </w:p>
    <w:p w14:paraId="46BDAF6B" w14:textId="10099E5C" w:rsidR="00201DD0" w:rsidRPr="00085D29" w:rsidRDefault="00201DD0">
      <w:pPr>
        <w:rPr>
          <w:rFonts w:cstheme="minorHAnsi"/>
        </w:rPr>
      </w:pPr>
    </w:p>
    <w:p w14:paraId="5C0CFBB3" w14:textId="7920D86B" w:rsidR="003D77C9" w:rsidRPr="00085D29" w:rsidRDefault="003D77C9">
      <w:pPr>
        <w:rPr>
          <w:rFonts w:cstheme="minorHAnsi"/>
        </w:rPr>
      </w:pPr>
    </w:p>
    <w:p w14:paraId="7C1B6B44" w14:textId="42EF0D35" w:rsidR="003D77C9" w:rsidRPr="00085D29" w:rsidRDefault="003D77C9">
      <w:pPr>
        <w:rPr>
          <w:rFonts w:cstheme="minorHAnsi"/>
        </w:rPr>
      </w:pPr>
    </w:p>
    <w:p w14:paraId="67DA8DAF" w14:textId="467A4DD6" w:rsidR="003D77C9" w:rsidRPr="00085D29" w:rsidRDefault="003D77C9">
      <w:pPr>
        <w:rPr>
          <w:rFonts w:cstheme="minorHAnsi"/>
        </w:rPr>
      </w:pPr>
    </w:p>
    <w:p w14:paraId="5D08EDB9" w14:textId="77777777" w:rsidR="003D77C9" w:rsidRPr="00085D29" w:rsidRDefault="003D77C9">
      <w:pPr>
        <w:rPr>
          <w:rFonts w:cstheme="minorHAnsi"/>
        </w:rPr>
      </w:pPr>
    </w:p>
    <w:p w14:paraId="473CD22C" w14:textId="77777777" w:rsidR="00201DD0" w:rsidRPr="00085D29" w:rsidRDefault="00201DD0" w:rsidP="00201DD0">
      <w:pPr>
        <w:pStyle w:val="Titolo"/>
        <w:rPr>
          <w:rFonts w:asciiTheme="minorHAnsi" w:hAnsiTheme="minorHAnsi" w:cstheme="minorHAnsi"/>
          <w:b/>
          <w:sz w:val="44"/>
          <w:szCs w:val="44"/>
        </w:rPr>
      </w:pPr>
    </w:p>
    <w:p w14:paraId="0357ACC4" w14:textId="7ADA80F6" w:rsidR="00201DD0" w:rsidRPr="00085D29" w:rsidRDefault="00201DD0" w:rsidP="00201DD0">
      <w:pPr>
        <w:pStyle w:val="Titolo"/>
        <w:ind w:left="142" w:firstLine="284"/>
        <w:jc w:val="right"/>
        <w:rPr>
          <w:rFonts w:asciiTheme="minorHAnsi" w:hAnsiTheme="minorHAnsi" w:cstheme="minorHAnsi"/>
          <w:b/>
          <w:color w:val="7F7F7F" w:themeColor="text1" w:themeTint="80"/>
          <w:sz w:val="40"/>
          <w:szCs w:val="40"/>
        </w:rPr>
      </w:pPr>
      <w:r w:rsidRPr="00085D29">
        <w:rPr>
          <w:rFonts w:asciiTheme="minorHAnsi" w:hAnsiTheme="minorHAnsi" w:cstheme="minorHAnsi"/>
          <w:b/>
          <w:color w:val="7F7F7F" w:themeColor="text1" w:themeTint="80"/>
          <w:sz w:val="40"/>
          <w:szCs w:val="40"/>
        </w:rPr>
        <w:t>F</w:t>
      </w:r>
      <w:r w:rsidRPr="00085D29">
        <w:rPr>
          <w:rFonts w:asciiTheme="minorHAnsi" w:hAnsiTheme="minorHAnsi" w:cstheme="minorHAnsi"/>
          <w:b/>
          <w:caps w:val="0"/>
          <w:color w:val="7F7F7F" w:themeColor="text1" w:themeTint="80"/>
          <w:sz w:val="40"/>
          <w:szCs w:val="40"/>
        </w:rPr>
        <w:t>ile di supporto</w:t>
      </w:r>
      <w:r w:rsidR="00E5215E">
        <w:rPr>
          <w:rFonts w:asciiTheme="minorHAnsi" w:hAnsiTheme="minorHAnsi" w:cstheme="minorHAnsi"/>
          <w:b/>
          <w:caps w:val="0"/>
          <w:color w:val="7F7F7F" w:themeColor="text1" w:themeTint="80"/>
          <w:sz w:val="40"/>
          <w:szCs w:val="40"/>
        </w:rPr>
        <w:t>: metodologia di valutazione</w:t>
      </w:r>
    </w:p>
    <w:p w14:paraId="14AFA669" w14:textId="13A4AF2F" w:rsidR="00085D29" w:rsidRPr="00085D29" w:rsidRDefault="00201DD0" w:rsidP="00F64C54">
      <w:pPr>
        <w:pStyle w:val="dsParteTitolo"/>
        <w:rPr>
          <w:rFonts w:asciiTheme="minorHAnsi" w:hAnsiTheme="minorHAnsi" w:cstheme="minorHAnsi"/>
          <w:i w:val="0"/>
          <w:color w:val="1CADE4" w:themeColor="accent1"/>
        </w:rPr>
      </w:pPr>
      <w:r w:rsidRPr="00085D29">
        <w:rPr>
          <w:rFonts w:asciiTheme="minorHAnsi" w:hAnsiTheme="minorHAnsi" w:cstheme="minorHAnsi"/>
          <w:i w:val="0"/>
          <w:color w:val="1CADE4" w:themeColor="accent1"/>
        </w:rPr>
        <w:fldChar w:fldCharType="begin"/>
      </w:r>
      <w:r w:rsidRPr="00085D29">
        <w:rPr>
          <w:rFonts w:asciiTheme="minorHAnsi" w:hAnsiTheme="minorHAnsi" w:cstheme="minorHAnsi"/>
          <w:i w:val="0"/>
          <w:color w:val="1CADE4" w:themeColor="accent1"/>
        </w:rPr>
        <w:instrText xml:space="preserve"> DOCPROPERTY  Titolo  \* MERGEFORMAT </w:instrText>
      </w:r>
      <w:r w:rsidRPr="00085D29">
        <w:rPr>
          <w:rFonts w:asciiTheme="minorHAnsi" w:hAnsiTheme="minorHAnsi" w:cstheme="minorHAnsi"/>
          <w:i w:val="0"/>
          <w:color w:val="1CADE4" w:themeColor="accent1"/>
        </w:rPr>
        <w:fldChar w:fldCharType="separate"/>
      </w:r>
      <w:bookmarkStart w:id="0" w:name="_Toc41000252"/>
      <w:r w:rsidR="00AA6915">
        <w:rPr>
          <w:rFonts w:asciiTheme="minorHAnsi" w:hAnsiTheme="minorHAnsi" w:cstheme="minorHAnsi"/>
          <w:i w:val="0"/>
          <w:color w:val="1CADE4" w:themeColor="accent1"/>
        </w:rPr>
        <w:t>KIT</w:t>
      </w:r>
      <w:r w:rsidRPr="00085D29">
        <w:rPr>
          <w:rFonts w:asciiTheme="minorHAnsi" w:hAnsiTheme="minorHAnsi" w:cstheme="minorHAnsi"/>
          <w:i w:val="0"/>
          <w:color w:val="1CADE4" w:themeColor="accent1"/>
        </w:rPr>
        <w:t xml:space="preserve"> Antiriciclaggio</w:t>
      </w:r>
      <w:bookmarkEnd w:id="0"/>
      <w:r w:rsidRPr="00085D29">
        <w:rPr>
          <w:rFonts w:asciiTheme="minorHAnsi" w:hAnsiTheme="minorHAnsi" w:cstheme="minorHAnsi"/>
          <w:i w:val="0"/>
          <w:color w:val="1CADE4" w:themeColor="accent1"/>
        </w:rPr>
        <w:fldChar w:fldCharType="end"/>
      </w:r>
      <w:r w:rsidR="00AA6915">
        <w:rPr>
          <w:rFonts w:asciiTheme="minorHAnsi" w:hAnsiTheme="minorHAnsi" w:cstheme="minorHAnsi"/>
          <w:i w:val="0"/>
          <w:color w:val="1CADE4" w:themeColor="accent1"/>
        </w:rPr>
        <w:t xml:space="preserve"> </w:t>
      </w:r>
    </w:p>
    <w:p w14:paraId="558B9951" w14:textId="503A6433" w:rsidR="00201DD0" w:rsidRPr="00085D29" w:rsidRDefault="00AA6915" w:rsidP="00F64C54">
      <w:pPr>
        <w:pStyle w:val="dsParteTitolo"/>
        <w:rPr>
          <w:rFonts w:asciiTheme="minorHAnsi" w:hAnsiTheme="minorHAnsi" w:cstheme="minorHAnsi"/>
          <w:i w:val="0"/>
          <w:color w:val="1CADE4" w:themeColor="accent1"/>
          <w:sz w:val="28"/>
          <w:szCs w:val="28"/>
        </w:rPr>
      </w:pPr>
      <w:r>
        <w:rPr>
          <w:rFonts w:asciiTheme="minorHAnsi" w:hAnsiTheme="minorHAnsi" w:cstheme="minorHAnsi"/>
          <w:i w:val="0"/>
          <w:color w:val="1CADE4" w:themeColor="accent1"/>
          <w:sz w:val="28"/>
          <w:szCs w:val="28"/>
        </w:rPr>
        <w:t>S</w:t>
      </w:r>
      <w:r w:rsidR="00F64C54" w:rsidRPr="00085D29">
        <w:rPr>
          <w:rFonts w:asciiTheme="minorHAnsi" w:hAnsiTheme="minorHAnsi" w:cstheme="minorHAnsi"/>
          <w:i w:val="0"/>
          <w:color w:val="1CADE4" w:themeColor="accent1"/>
          <w:sz w:val="28"/>
          <w:szCs w:val="28"/>
        </w:rPr>
        <w:t>upporto specialistico per lo sviluppo di un modello di gestione del rischio di riciclaggio e finanziamento del terrorismo (d.lgs. 231/07)</w:t>
      </w:r>
    </w:p>
    <w:p w14:paraId="6785A884" w14:textId="77777777" w:rsidR="00201DD0" w:rsidRPr="00085D29" w:rsidRDefault="00201DD0" w:rsidP="00201DD0">
      <w:pPr>
        <w:rPr>
          <w:rFonts w:cstheme="minorHAnsi"/>
          <w:smallCaps/>
          <w:noProof/>
          <w:color w:val="FFFFFF"/>
          <w:spacing w:val="10"/>
          <w:kern w:val="20"/>
          <w:sz w:val="28"/>
        </w:rPr>
      </w:pPr>
    </w:p>
    <w:p w14:paraId="13A17BF9" w14:textId="15753A42" w:rsidR="00E5215E" w:rsidRDefault="00E5215E" w:rsidP="002A6A70">
      <w:pPr>
        <w:pStyle w:val="Titolo1"/>
        <w:rPr>
          <w:rFonts w:cstheme="minorHAnsi"/>
        </w:rPr>
      </w:pPr>
      <w:r>
        <w:rPr>
          <w:rFonts w:cstheme="minorHAnsi"/>
        </w:rPr>
        <w:br w:type="page"/>
      </w:r>
    </w:p>
    <w:p w14:paraId="5BE9C98B" w14:textId="67D93A61" w:rsidR="002A6A70" w:rsidRPr="00085D29" w:rsidRDefault="00E5215E" w:rsidP="002A6A70">
      <w:pPr>
        <w:pStyle w:val="Titolo1"/>
        <w:rPr>
          <w:rFonts w:cstheme="minorHAnsi"/>
        </w:rPr>
      </w:pPr>
      <w:r>
        <w:rPr>
          <w:rFonts w:cstheme="minorHAnsi"/>
        </w:rPr>
        <w:lastRenderedPageBreak/>
        <w:t>Valutazione del rischio</w:t>
      </w:r>
    </w:p>
    <w:p w14:paraId="4CDE1EAD" w14:textId="77777777" w:rsidR="00A33F87" w:rsidRDefault="00A33F87" w:rsidP="00A33F87">
      <w:bookmarkStart w:id="1" w:name="_Toc41005760"/>
    </w:p>
    <w:p w14:paraId="66012B9A" w14:textId="77777777" w:rsidR="00E5215E" w:rsidRPr="00E5215E" w:rsidRDefault="00E5215E" w:rsidP="00701E56">
      <w:pPr>
        <w:jc w:val="both"/>
      </w:pPr>
      <w:r w:rsidRPr="00E5215E">
        <w:t>La metodologia sviluppata consente di intraprendere due strade alternative. La prima metodologia, più semplice e generale, prevede di valutare la frequenza dell’evento rischioso e il suo impatto al fine di determinare il grado di rischio inerente (ovvero l'attitudine di una classe di valori a presentare errori significativi indipendentemente dall'esistenza di procedure di controllo interno). Al rischio inerente viene poi associato il grado di efficacia delle misure utilizzate per contrastare i rischi, come controlli, formazione specifica, etc. (le misure sono tanto efficaci quanto permettono di comunicare eventuali casi sospetti). Con riferimento a probabilità e impatto, le declaratorie sono le seguenti e si applicano al complesso di eventi rischiosi individuati per ciascun processo/procedimento a rischio:</w:t>
      </w:r>
    </w:p>
    <w:tbl>
      <w:tblPr>
        <w:tblW w:w="9140" w:type="dxa"/>
        <w:tblInd w:w="80" w:type="dxa"/>
        <w:tblCellMar>
          <w:left w:w="70" w:type="dxa"/>
          <w:right w:w="70" w:type="dxa"/>
        </w:tblCellMar>
        <w:tblLook w:val="04A0" w:firstRow="1" w:lastRow="0" w:firstColumn="1" w:lastColumn="0" w:noHBand="0" w:noVBand="1"/>
      </w:tblPr>
      <w:tblGrid>
        <w:gridCol w:w="1860"/>
        <w:gridCol w:w="7280"/>
      </w:tblGrid>
      <w:tr w:rsidR="00701E56" w:rsidRPr="00701E56" w14:paraId="3F79790B" w14:textId="77777777" w:rsidTr="00701E56">
        <w:trPr>
          <w:trHeight w:val="270"/>
        </w:trPr>
        <w:tc>
          <w:tcPr>
            <w:tcW w:w="1860" w:type="dxa"/>
            <w:tcBorders>
              <w:top w:val="single" w:sz="8" w:space="0" w:color="000000"/>
              <w:left w:val="single" w:sz="8" w:space="0" w:color="000000"/>
              <w:bottom w:val="single" w:sz="8" w:space="0" w:color="000000"/>
              <w:right w:val="nil"/>
            </w:tcBorders>
            <w:shd w:val="clear" w:color="000000" w:fill="000000"/>
            <w:hideMark/>
          </w:tcPr>
          <w:p w14:paraId="12D05F40" w14:textId="77777777" w:rsidR="00701E56" w:rsidRPr="00701E56" w:rsidRDefault="00701E56" w:rsidP="00701E56">
            <w:pPr>
              <w:spacing w:before="0" w:after="0" w:line="240" w:lineRule="auto"/>
              <w:jc w:val="both"/>
              <w:rPr>
                <w:rFonts w:ascii="Calibri" w:eastAsia="Times New Roman" w:hAnsi="Calibri" w:cs="Calibri"/>
                <w:b/>
                <w:bCs/>
                <w:color w:val="FFFFFF"/>
                <w:sz w:val="18"/>
                <w:szCs w:val="18"/>
                <w:lang w:eastAsia="it-IT"/>
              </w:rPr>
            </w:pPr>
            <w:r w:rsidRPr="00701E56">
              <w:rPr>
                <w:rFonts w:ascii="Calibri" w:eastAsia="Times New Roman" w:hAnsi="Calibri" w:cs="Calibri"/>
                <w:b/>
                <w:bCs/>
                <w:color w:val="FFFFFF"/>
                <w:sz w:val="18"/>
                <w:szCs w:val="18"/>
                <w:lang w:eastAsia="it-IT"/>
              </w:rPr>
              <w:t>Scala di valutazione</w:t>
            </w:r>
          </w:p>
        </w:tc>
        <w:tc>
          <w:tcPr>
            <w:tcW w:w="7280" w:type="dxa"/>
            <w:tcBorders>
              <w:top w:val="single" w:sz="8" w:space="0" w:color="000000"/>
              <w:left w:val="nil"/>
              <w:bottom w:val="single" w:sz="8" w:space="0" w:color="000000"/>
              <w:right w:val="single" w:sz="8" w:space="0" w:color="000000"/>
            </w:tcBorders>
            <w:shd w:val="clear" w:color="000000" w:fill="000000"/>
            <w:hideMark/>
          </w:tcPr>
          <w:p w14:paraId="5EE2D7B1" w14:textId="77777777" w:rsidR="00701E56" w:rsidRPr="00701E56" w:rsidRDefault="00701E56" w:rsidP="00701E56">
            <w:pPr>
              <w:spacing w:before="0" w:after="0" w:line="240" w:lineRule="auto"/>
              <w:jc w:val="both"/>
              <w:rPr>
                <w:rFonts w:ascii="Calibri" w:eastAsia="Times New Roman" w:hAnsi="Calibri" w:cs="Calibri"/>
                <w:b/>
                <w:bCs/>
                <w:color w:val="FFFFFF"/>
                <w:sz w:val="18"/>
                <w:szCs w:val="18"/>
                <w:lang w:eastAsia="it-IT"/>
              </w:rPr>
            </w:pPr>
            <w:r w:rsidRPr="00701E56">
              <w:rPr>
                <w:rFonts w:ascii="Calibri" w:eastAsia="Times New Roman" w:hAnsi="Calibri" w:cs="Calibri"/>
                <w:b/>
                <w:bCs/>
                <w:color w:val="FFFFFF"/>
                <w:sz w:val="18"/>
                <w:szCs w:val="18"/>
                <w:lang w:eastAsia="it-IT"/>
              </w:rPr>
              <w:t>Declaratoria</w:t>
            </w:r>
          </w:p>
        </w:tc>
      </w:tr>
      <w:tr w:rsidR="00701E56" w:rsidRPr="00701E56" w14:paraId="4E13FDA0" w14:textId="77777777" w:rsidTr="00701E56">
        <w:trPr>
          <w:trHeight w:val="495"/>
        </w:trPr>
        <w:tc>
          <w:tcPr>
            <w:tcW w:w="1860" w:type="dxa"/>
            <w:tcBorders>
              <w:top w:val="nil"/>
              <w:left w:val="single" w:sz="8" w:space="0" w:color="666666"/>
              <w:bottom w:val="single" w:sz="8" w:space="0" w:color="666666"/>
              <w:right w:val="single" w:sz="8" w:space="0" w:color="666666"/>
            </w:tcBorders>
            <w:shd w:val="clear" w:color="000000" w:fill="CCCCCC"/>
            <w:hideMark/>
          </w:tcPr>
          <w:p w14:paraId="3225695F" w14:textId="77777777" w:rsidR="00701E56" w:rsidRPr="00701E56" w:rsidRDefault="00701E56" w:rsidP="00701E56">
            <w:pPr>
              <w:spacing w:before="0" w:after="0" w:line="240" w:lineRule="auto"/>
              <w:rPr>
                <w:rFonts w:ascii="Calibri" w:eastAsia="Times New Roman" w:hAnsi="Calibri" w:cs="Calibri"/>
                <w:b/>
                <w:bCs/>
                <w:color w:val="000000"/>
                <w:sz w:val="18"/>
                <w:szCs w:val="18"/>
                <w:lang w:eastAsia="it-IT"/>
              </w:rPr>
            </w:pPr>
            <w:r w:rsidRPr="00701E56">
              <w:rPr>
                <w:rFonts w:ascii="Calibri" w:eastAsia="Times New Roman" w:hAnsi="Calibri" w:cs="Calibri"/>
                <w:b/>
                <w:bCs/>
                <w:color w:val="000000"/>
                <w:sz w:val="18"/>
                <w:szCs w:val="18"/>
                <w:lang w:eastAsia="it-IT"/>
              </w:rPr>
              <w:t>Probabilità Alta</w:t>
            </w:r>
          </w:p>
        </w:tc>
        <w:tc>
          <w:tcPr>
            <w:tcW w:w="7280" w:type="dxa"/>
            <w:tcBorders>
              <w:top w:val="nil"/>
              <w:left w:val="nil"/>
              <w:bottom w:val="single" w:sz="8" w:space="0" w:color="666666"/>
              <w:right w:val="single" w:sz="8" w:space="0" w:color="666666"/>
            </w:tcBorders>
            <w:shd w:val="clear" w:color="000000" w:fill="CCCCCC"/>
            <w:hideMark/>
          </w:tcPr>
          <w:p w14:paraId="60483B33" w14:textId="77777777" w:rsidR="00701E56" w:rsidRPr="00701E56" w:rsidRDefault="00701E56" w:rsidP="00701E56">
            <w:pPr>
              <w:spacing w:before="0" w:after="0" w:line="240" w:lineRule="auto"/>
              <w:jc w:val="both"/>
              <w:rPr>
                <w:rFonts w:ascii="Calibri" w:eastAsia="Times New Roman" w:hAnsi="Calibri" w:cs="Calibri"/>
                <w:color w:val="000000"/>
                <w:sz w:val="18"/>
                <w:szCs w:val="18"/>
                <w:lang w:eastAsia="it-IT"/>
              </w:rPr>
            </w:pPr>
            <w:r w:rsidRPr="00701E56">
              <w:rPr>
                <w:rFonts w:ascii="Calibri" w:eastAsia="Times New Roman" w:hAnsi="Calibri" w:cs="Calibri"/>
                <w:color w:val="000000"/>
                <w:sz w:val="18"/>
                <w:szCs w:val="18"/>
                <w:lang w:eastAsia="it-IT"/>
              </w:rPr>
              <w:t>L’evento rischioso ha elevata probabilità di manifestarsi anche con frequenza e potrebbe accadere anche in realtà simili all'Ente di riferimento</w:t>
            </w:r>
          </w:p>
        </w:tc>
      </w:tr>
      <w:tr w:rsidR="00701E56" w:rsidRPr="00701E56" w14:paraId="462C4A96" w14:textId="77777777" w:rsidTr="00701E56">
        <w:trPr>
          <w:trHeight w:val="495"/>
        </w:trPr>
        <w:tc>
          <w:tcPr>
            <w:tcW w:w="1860" w:type="dxa"/>
            <w:tcBorders>
              <w:top w:val="nil"/>
              <w:left w:val="single" w:sz="8" w:space="0" w:color="666666"/>
              <w:bottom w:val="single" w:sz="8" w:space="0" w:color="666666"/>
              <w:right w:val="single" w:sz="8" w:space="0" w:color="666666"/>
            </w:tcBorders>
            <w:shd w:val="clear" w:color="auto" w:fill="auto"/>
            <w:hideMark/>
          </w:tcPr>
          <w:p w14:paraId="6FF5C4C1" w14:textId="77777777" w:rsidR="00701E56" w:rsidRPr="00701E56" w:rsidRDefault="00701E56" w:rsidP="00701E56">
            <w:pPr>
              <w:spacing w:before="0" w:after="0" w:line="240" w:lineRule="auto"/>
              <w:rPr>
                <w:rFonts w:ascii="Calibri" w:eastAsia="Times New Roman" w:hAnsi="Calibri" w:cs="Calibri"/>
                <w:b/>
                <w:bCs/>
                <w:sz w:val="18"/>
                <w:szCs w:val="18"/>
                <w:lang w:eastAsia="it-IT"/>
              </w:rPr>
            </w:pPr>
            <w:r w:rsidRPr="00701E56">
              <w:rPr>
                <w:rFonts w:ascii="Calibri" w:eastAsia="Times New Roman" w:hAnsi="Calibri" w:cs="Calibri"/>
                <w:b/>
                <w:bCs/>
                <w:sz w:val="18"/>
                <w:szCs w:val="18"/>
                <w:lang w:eastAsia="it-IT"/>
              </w:rPr>
              <w:t>Probabilità Medio-Alta</w:t>
            </w:r>
          </w:p>
        </w:tc>
        <w:tc>
          <w:tcPr>
            <w:tcW w:w="7280" w:type="dxa"/>
            <w:tcBorders>
              <w:top w:val="nil"/>
              <w:left w:val="nil"/>
              <w:bottom w:val="single" w:sz="8" w:space="0" w:color="666666"/>
              <w:right w:val="single" w:sz="8" w:space="0" w:color="666666"/>
            </w:tcBorders>
            <w:shd w:val="clear" w:color="auto" w:fill="auto"/>
            <w:hideMark/>
          </w:tcPr>
          <w:p w14:paraId="428A13F4" w14:textId="77777777" w:rsidR="00701E56" w:rsidRPr="00701E56" w:rsidRDefault="00701E56" w:rsidP="00701E56">
            <w:pPr>
              <w:spacing w:before="0" w:after="0" w:line="240" w:lineRule="auto"/>
              <w:jc w:val="both"/>
              <w:rPr>
                <w:rFonts w:ascii="Calibri" w:eastAsia="Times New Roman" w:hAnsi="Calibri" w:cs="Calibri"/>
                <w:sz w:val="18"/>
                <w:szCs w:val="18"/>
                <w:lang w:eastAsia="it-IT"/>
              </w:rPr>
            </w:pPr>
            <w:r w:rsidRPr="00701E56">
              <w:rPr>
                <w:rFonts w:ascii="Calibri" w:eastAsia="Times New Roman" w:hAnsi="Calibri" w:cs="Calibri"/>
                <w:sz w:val="18"/>
                <w:szCs w:val="18"/>
                <w:lang w:eastAsia="it-IT"/>
              </w:rPr>
              <w:t>L’evento rischioso ha elevata probabilità di manifestarsi anche con una certa frequenza e potrebbe accadere anche in realtà simili all'Ente di riferimento</w:t>
            </w:r>
          </w:p>
        </w:tc>
      </w:tr>
      <w:tr w:rsidR="00701E56" w:rsidRPr="00701E56" w14:paraId="11A7185A" w14:textId="77777777" w:rsidTr="00701E56">
        <w:trPr>
          <w:trHeight w:val="495"/>
        </w:trPr>
        <w:tc>
          <w:tcPr>
            <w:tcW w:w="1860" w:type="dxa"/>
            <w:tcBorders>
              <w:top w:val="nil"/>
              <w:left w:val="single" w:sz="8" w:space="0" w:color="666666"/>
              <w:bottom w:val="single" w:sz="8" w:space="0" w:color="666666"/>
              <w:right w:val="single" w:sz="8" w:space="0" w:color="666666"/>
            </w:tcBorders>
            <w:shd w:val="clear" w:color="000000" w:fill="CCCCCC"/>
            <w:hideMark/>
          </w:tcPr>
          <w:p w14:paraId="2C363941" w14:textId="77777777" w:rsidR="00701E56" w:rsidRPr="00701E56" w:rsidRDefault="00701E56" w:rsidP="00701E56">
            <w:pPr>
              <w:spacing w:before="0" w:after="0" w:line="240" w:lineRule="auto"/>
              <w:rPr>
                <w:rFonts w:ascii="Calibri" w:eastAsia="Times New Roman" w:hAnsi="Calibri" w:cs="Calibri"/>
                <w:b/>
                <w:bCs/>
                <w:color w:val="000000"/>
                <w:sz w:val="18"/>
                <w:szCs w:val="18"/>
                <w:lang w:eastAsia="it-IT"/>
              </w:rPr>
            </w:pPr>
            <w:r w:rsidRPr="00701E56">
              <w:rPr>
                <w:rFonts w:ascii="Calibri" w:eastAsia="Times New Roman" w:hAnsi="Calibri" w:cs="Calibri"/>
                <w:b/>
                <w:bCs/>
                <w:color w:val="000000"/>
                <w:sz w:val="18"/>
                <w:szCs w:val="18"/>
                <w:lang w:eastAsia="it-IT"/>
              </w:rPr>
              <w:t>Probabilità Media</w:t>
            </w:r>
          </w:p>
        </w:tc>
        <w:tc>
          <w:tcPr>
            <w:tcW w:w="7280" w:type="dxa"/>
            <w:tcBorders>
              <w:top w:val="nil"/>
              <w:left w:val="nil"/>
              <w:bottom w:val="single" w:sz="8" w:space="0" w:color="666666"/>
              <w:right w:val="single" w:sz="8" w:space="0" w:color="666666"/>
            </w:tcBorders>
            <w:shd w:val="clear" w:color="000000" w:fill="CCCCCC"/>
            <w:hideMark/>
          </w:tcPr>
          <w:p w14:paraId="373F4782" w14:textId="77777777" w:rsidR="00701E56" w:rsidRPr="00701E56" w:rsidRDefault="00701E56" w:rsidP="00701E56">
            <w:pPr>
              <w:spacing w:before="0" w:after="0" w:line="240" w:lineRule="auto"/>
              <w:jc w:val="both"/>
              <w:rPr>
                <w:rFonts w:ascii="Calibri" w:eastAsia="Times New Roman" w:hAnsi="Calibri" w:cs="Calibri"/>
                <w:color w:val="000000"/>
                <w:sz w:val="18"/>
                <w:szCs w:val="18"/>
                <w:lang w:eastAsia="it-IT"/>
              </w:rPr>
            </w:pPr>
            <w:r w:rsidRPr="00701E56">
              <w:rPr>
                <w:rFonts w:ascii="Calibri" w:eastAsia="Times New Roman" w:hAnsi="Calibri" w:cs="Calibri"/>
                <w:color w:val="000000"/>
                <w:sz w:val="18"/>
                <w:szCs w:val="18"/>
                <w:lang w:eastAsia="it-IT"/>
              </w:rPr>
              <w:t>L’evento rischioso ha probabilità di manifestarsi e potrebbe accadere anche in realtà simili all'Ente di riferimento</w:t>
            </w:r>
          </w:p>
        </w:tc>
      </w:tr>
      <w:tr w:rsidR="00701E56" w:rsidRPr="00701E56" w14:paraId="25CCDF0D" w14:textId="77777777" w:rsidTr="00701E56">
        <w:trPr>
          <w:trHeight w:val="495"/>
        </w:trPr>
        <w:tc>
          <w:tcPr>
            <w:tcW w:w="1860" w:type="dxa"/>
            <w:tcBorders>
              <w:top w:val="nil"/>
              <w:left w:val="single" w:sz="8" w:space="0" w:color="666666"/>
              <w:bottom w:val="single" w:sz="8" w:space="0" w:color="666666"/>
              <w:right w:val="single" w:sz="8" w:space="0" w:color="666666"/>
            </w:tcBorders>
            <w:shd w:val="clear" w:color="auto" w:fill="auto"/>
            <w:hideMark/>
          </w:tcPr>
          <w:p w14:paraId="525DEB2B" w14:textId="77777777" w:rsidR="00701E56" w:rsidRPr="00701E56" w:rsidRDefault="00701E56" w:rsidP="00701E56">
            <w:pPr>
              <w:spacing w:before="0" w:after="0" w:line="240" w:lineRule="auto"/>
              <w:rPr>
                <w:rFonts w:ascii="Calibri" w:eastAsia="Times New Roman" w:hAnsi="Calibri" w:cs="Calibri"/>
                <w:b/>
                <w:bCs/>
                <w:sz w:val="18"/>
                <w:szCs w:val="18"/>
                <w:lang w:eastAsia="it-IT"/>
              </w:rPr>
            </w:pPr>
            <w:r w:rsidRPr="00701E56">
              <w:rPr>
                <w:rFonts w:ascii="Calibri" w:eastAsia="Times New Roman" w:hAnsi="Calibri" w:cs="Calibri"/>
                <w:b/>
                <w:bCs/>
                <w:sz w:val="18"/>
                <w:szCs w:val="18"/>
                <w:lang w:eastAsia="it-IT"/>
              </w:rPr>
              <w:t>Probabilità Medio-Bassa</w:t>
            </w:r>
          </w:p>
        </w:tc>
        <w:tc>
          <w:tcPr>
            <w:tcW w:w="7280" w:type="dxa"/>
            <w:tcBorders>
              <w:top w:val="nil"/>
              <w:left w:val="nil"/>
              <w:bottom w:val="single" w:sz="8" w:space="0" w:color="666666"/>
              <w:right w:val="single" w:sz="8" w:space="0" w:color="666666"/>
            </w:tcBorders>
            <w:shd w:val="clear" w:color="auto" w:fill="auto"/>
            <w:hideMark/>
          </w:tcPr>
          <w:p w14:paraId="7813AC7B" w14:textId="77777777" w:rsidR="00701E56" w:rsidRPr="00701E56" w:rsidRDefault="00701E56" w:rsidP="00701E56">
            <w:pPr>
              <w:spacing w:before="0" w:after="0" w:line="240" w:lineRule="auto"/>
              <w:jc w:val="both"/>
              <w:rPr>
                <w:rFonts w:ascii="Calibri" w:eastAsia="Times New Roman" w:hAnsi="Calibri" w:cs="Calibri"/>
                <w:sz w:val="18"/>
                <w:szCs w:val="18"/>
                <w:lang w:eastAsia="it-IT"/>
              </w:rPr>
            </w:pPr>
            <w:r w:rsidRPr="00701E56">
              <w:rPr>
                <w:rFonts w:ascii="Calibri" w:eastAsia="Times New Roman" w:hAnsi="Calibri" w:cs="Calibri"/>
                <w:sz w:val="18"/>
                <w:szCs w:val="18"/>
                <w:lang w:eastAsia="it-IT"/>
              </w:rPr>
              <w:t>L’evento rischioso ha una probabilità di manifestarsi relativa e potrebbe accadere anche in realtà simili all'Ente di riferimento</w:t>
            </w:r>
          </w:p>
        </w:tc>
      </w:tr>
      <w:tr w:rsidR="00701E56" w:rsidRPr="00701E56" w14:paraId="4CF513E3" w14:textId="77777777" w:rsidTr="00701E56">
        <w:trPr>
          <w:trHeight w:val="495"/>
        </w:trPr>
        <w:tc>
          <w:tcPr>
            <w:tcW w:w="1860" w:type="dxa"/>
            <w:tcBorders>
              <w:top w:val="nil"/>
              <w:left w:val="single" w:sz="8" w:space="0" w:color="666666"/>
              <w:bottom w:val="single" w:sz="8" w:space="0" w:color="666666"/>
              <w:right w:val="single" w:sz="8" w:space="0" w:color="666666"/>
            </w:tcBorders>
            <w:shd w:val="clear" w:color="000000" w:fill="CCCCCC"/>
            <w:hideMark/>
          </w:tcPr>
          <w:p w14:paraId="3F95ACA5" w14:textId="77777777" w:rsidR="00701E56" w:rsidRPr="00701E56" w:rsidRDefault="00701E56" w:rsidP="00701E56">
            <w:pPr>
              <w:spacing w:before="0" w:after="0" w:line="240" w:lineRule="auto"/>
              <w:rPr>
                <w:rFonts w:ascii="Calibri" w:eastAsia="Times New Roman" w:hAnsi="Calibri" w:cs="Calibri"/>
                <w:b/>
                <w:bCs/>
                <w:color w:val="000000"/>
                <w:sz w:val="18"/>
                <w:szCs w:val="18"/>
                <w:lang w:eastAsia="it-IT"/>
              </w:rPr>
            </w:pPr>
            <w:r w:rsidRPr="00701E56">
              <w:rPr>
                <w:rFonts w:ascii="Calibri" w:eastAsia="Times New Roman" w:hAnsi="Calibri" w:cs="Calibri"/>
                <w:b/>
                <w:bCs/>
                <w:color w:val="000000"/>
                <w:sz w:val="18"/>
                <w:szCs w:val="18"/>
                <w:lang w:eastAsia="it-IT"/>
              </w:rPr>
              <w:t>Probabilità Bassa</w:t>
            </w:r>
          </w:p>
        </w:tc>
        <w:tc>
          <w:tcPr>
            <w:tcW w:w="7280" w:type="dxa"/>
            <w:tcBorders>
              <w:top w:val="nil"/>
              <w:left w:val="nil"/>
              <w:bottom w:val="single" w:sz="8" w:space="0" w:color="666666"/>
              <w:right w:val="single" w:sz="8" w:space="0" w:color="666666"/>
            </w:tcBorders>
            <w:shd w:val="clear" w:color="000000" w:fill="CCCCCC"/>
            <w:hideMark/>
          </w:tcPr>
          <w:p w14:paraId="6C0D153F" w14:textId="77777777" w:rsidR="00701E56" w:rsidRPr="00701E56" w:rsidRDefault="00701E56" w:rsidP="00701E56">
            <w:pPr>
              <w:spacing w:before="0" w:after="0" w:line="240" w:lineRule="auto"/>
              <w:jc w:val="both"/>
              <w:rPr>
                <w:rFonts w:ascii="Calibri" w:eastAsia="Times New Roman" w:hAnsi="Calibri" w:cs="Calibri"/>
                <w:color w:val="000000"/>
                <w:sz w:val="18"/>
                <w:szCs w:val="18"/>
                <w:lang w:eastAsia="it-IT"/>
              </w:rPr>
            </w:pPr>
            <w:r w:rsidRPr="00701E56">
              <w:rPr>
                <w:rFonts w:ascii="Calibri" w:eastAsia="Times New Roman" w:hAnsi="Calibri" w:cs="Calibri"/>
                <w:color w:val="000000"/>
                <w:sz w:val="18"/>
                <w:szCs w:val="18"/>
                <w:lang w:eastAsia="it-IT"/>
              </w:rPr>
              <w:t>L’evento rischioso ha una minima probabilità di manifestarsi e potrebbe accadere anche in realtà simili all'Ente di riferimento</w:t>
            </w:r>
          </w:p>
        </w:tc>
      </w:tr>
    </w:tbl>
    <w:p w14:paraId="712FB8FD" w14:textId="077B7CF6" w:rsidR="00A33F87" w:rsidRDefault="00A33F87" w:rsidP="00A33F87"/>
    <w:tbl>
      <w:tblPr>
        <w:tblW w:w="9140" w:type="dxa"/>
        <w:tblInd w:w="80" w:type="dxa"/>
        <w:tblCellMar>
          <w:left w:w="70" w:type="dxa"/>
          <w:right w:w="70" w:type="dxa"/>
        </w:tblCellMar>
        <w:tblLook w:val="04A0" w:firstRow="1" w:lastRow="0" w:firstColumn="1" w:lastColumn="0" w:noHBand="0" w:noVBand="1"/>
      </w:tblPr>
      <w:tblGrid>
        <w:gridCol w:w="1860"/>
        <w:gridCol w:w="7280"/>
      </w:tblGrid>
      <w:tr w:rsidR="00701E56" w:rsidRPr="00701E56" w14:paraId="3ACD97AE" w14:textId="77777777" w:rsidTr="00701E56">
        <w:trPr>
          <w:trHeight w:val="270"/>
        </w:trPr>
        <w:tc>
          <w:tcPr>
            <w:tcW w:w="1860" w:type="dxa"/>
            <w:tcBorders>
              <w:top w:val="single" w:sz="8" w:space="0" w:color="000000"/>
              <w:left w:val="single" w:sz="8" w:space="0" w:color="000000"/>
              <w:bottom w:val="single" w:sz="8" w:space="0" w:color="000000"/>
              <w:right w:val="nil"/>
            </w:tcBorders>
            <w:shd w:val="clear" w:color="000000" w:fill="000000"/>
            <w:vAlign w:val="center"/>
            <w:hideMark/>
          </w:tcPr>
          <w:p w14:paraId="11261028" w14:textId="77777777" w:rsidR="00701E56" w:rsidRPr="00701E56" w:rsidRDefault="00701E56" w:rsidP="00701E56">
            <w:pPr>
              <w:spacing w:before="0" w:after="0" w:line="240" w:lineRule="auto"/>
              <w:jc w:val="both"/>
              <w:rPr>
                <w:rFonts w:ascii="Calibri" w:eastAsia="Times New Roman" w:hAnsi="Calibri" w:cs="Calibri"/>
                <w:b/>
                <w:bCs/>
                <w:color w:val="FFFFFF"/>
                <w:sz w:val="18"/>
                <w:szCs w:val="18"/>
                <w:lang w:eastAsia="it-IT"/>
              </w:rPr>
            </w:pPr>
            <w:r w:rsidRPr="00701E56">
              <w:rPr>
                <w:rFonts w:ascii="Calibri" w:eastAsia="Times New Roman" w:hAnsi="Calibri" w:cs="Calibri"/>
                <w:b/>
                <w:bCs/>
                <w:color w:val="FFFFFF"/>
                <w:sz w:val="18"/>
                <w:szCs w:val="18"/>
                <w:lang w:eastAsia="it-IT"/>
              </w:rPr>
              <w:t>Scala di valutazione</w:t>
            </w:r>
          </w:p>
        </w:tc>
        <w:tc>
          <w:tcPr>
            <w:tcW w:w="7280" w:type="dxa"/>
            <w:tcBorders>
              <w:top w:val="single" w:sz="8" w:space="0" w:color="000000"/>
              <w:left w:val="nil"/>
              <w:bottom w:val="single" w:sz="8" w:space="0" w:color="000000"/>
              <w:right w:val="single" w:sz="8" w:space="0" w:color="000000"/>
            </w:tcBorders>
            <w:shd w:val="clear" w:color="000000" w:fill="000000"/>
            <w:vAlign w:val="center"/>
            <w:hideMark/>
          </w:tcPr>
          <w:p w14:paraId="7C4694F6" w14:textId="77777777" w:rsidR="00701E56" w:rsidRPr="00701E56" w:rsidRDefault="00701E56" w:rsidP="00701E56">
            <w:pPr>
              <w:spacing w:before="0" w:after="0" w:line="240" w:lineRule="auto"/>
              <w:jc w:val="both"/>
              <w:rPr>
                <w:rFonts w:ascii="Calibri" w:eastAsia="Times New Roman" w:hAnsi="Calibri" w:cs="Calibri"/>
                <w:b/>
                <w:bCs/>
                <w:color w:val="FFFFFF"/>
                <w:sz w:val="18"/>
                <w:szCs w:val="18"/>
                <w:lang w:eastAsia="it-IT"/>
              </w:rPr>
            </w:pPr>
            <w:r w:rsidRPr="00701E56">
              <w:rPr>
                <w:rFonts w:ascii="Calibri" w:eastAsia="Times New Roman" w:hAnsi="Calibri" w:cs="Calibri"/>
                <w:b/>
                <w:bCs/>
                <w:color w:val="FFFFFF"/>
                <w:sz w:val="18"/>
                <w:szCs w:val="18"/>
                <w:lang w:eastAsia="it-IT"/>
              </w:rPr>
              <w:t>Declaratoria</w:t>
            </w:r>
          </w:p>
        </w:tc>
      </w:tr>
      <w:tr w:rsidR="00701E56" w:rsidRPr="00701E56" w14:paraId="60AE82BA" w14:textId="77777777" w:rsidTr="00701E56">
        <w:trPr>
          <w:trHeight w:val="735"/>
        </w:trPr>
        <w:tc>
          <w:tcPr>
            <w:tcW w:w="1860" w:type="dxa"/>
            <w:tcBorders>
              <w:top w:val="nil"/>
              <w:left w:val="single" w:sz="8" w:space="0" w:color="666666"/>
              <w:bottom w:val="single" w:sz="8" w:space="0" w:color="666666"/>
              <w:right w:val="single" w:sz="8" w:space="0" w:color="666666"/>
            </w:tcBorders>
            <w:shd w:val="clear" w:color="000000" w:fill="CCCCCC"/>
            <w:vAlign w:val="center"/>
            <w:hideMark/>
          </w:tcPr>
          <w:p w14:paraId="7C40C0DA" w14:textId="77777777" w:rsidR="00701E56" w:rsidRPr="00701E56" w:rsidRDefault="00701E56" w:rsidP="00701E56">
            <w:pPr>
              <w:spacing w:before="0" w:after="0" w:line="240" w:lineRule="auto"/>
              <w:jc w:val="both"/>
              <w:rPr>
                <w:rFonts w:ascii="Calibri" w:eastAsia="Times New Roman" w:hAnsi="Calibri" w:cs="Calibri"/>
                <w:b/>
                <w:bCs/>
                <w:color w:val="000000"/>
                <w:sz w:val="18"/>
                <w:szCs w:val="18"/>
                <w:lang w:eastAsia="it-IT"/>
              </w:rPr>
            </w:pPr>
            <w:r w:rsidRPr="00701E56">
              <w:rPr>
                <w:rFonts w:ascii="Calibri" w:eastAsia="Times New Roman" w:hAnsi="Calibri" w:cs="Calibri"/>
                <w:b/>
                <w:bCs/>
                <w:color w:val="000000"/>
                <w:sz w:val="18"/>
                <w:szCs w:val="18"/>
                <w:lang w:eastAsia="it-IT"/>
              </w:rPr>
              <w:t>Impatto Alto</w:t>
            </w:r>
          </w:p>
        </w:tc>
        <w:tc>
          <w:tcPr>
            <w:tcW w:w="7280" w:type="dxa"/>
            <w:tcBorders>
              <w:top w:val="nil"/>
              <w:left w:val="nil"/>
              <w:bottom w:val="single" w:sz="8" w:space="0" w:color="666666"/>
              <w:right w:val="single" w:sz="8" w:space="0" w:color="666666"/>
            </w:tcBorders>
            <w:shd w:val="clear" w:color="000000" w:fill="CCCCCC"/>
            <w:vAlign w:val="center"/>
            <w:hideMark/>
          </w:tcPr>
          <w:p w14:paraId="5B3378CF" w14:textId="77777777" w:rsidR="00701E56" w:rsidRPr="00701E56" w:rsidRDefault="00701E56" w:rsidP="00701E56">
            <w:pPr>
              <w:spacing w:before="0" w:after="0" w:line="240" w:lineRule="auto"/>
              <w:jc w:val="both"/>
              <w:rPr>
                <w:rFonts w:ascii="Calibri" w:eastAsia="Times New Roman" w:hAnsi="Calibri" w:cs="Calibri"/>
                <w:color w:val="000000"/>
                <w:sz w:val="18"/>
                <w:szCs w:val="18"/>
                <w:lang w:eastAsia="it-IT"/>
              </w:rPr>
            </w:pPr>
            <w:r w:rsidRPr="00701E56">
              <w:rPr>
                <w:rFonts w:ascii="Calibri" w:eastAsia="Times New Roman" w:hAnsi="Calibri" w:cs="Calibri"/>
                <w:color w:val="000000"/>
                <w:sz w:val="18"/>
                <w:szCs w:val="18"/>
                <w:lang w:eastAsia="it-IT"/>
              </w:rPr>
              <w:t>L’evento rischioso comporta rilevanti danni amministrativi, economici e di immagine, impossibilità di raggiungere gli obiettivi dell’organizzazione ed eventuali danni nei confronti dell’utenza</w:t>
            </w:r>
          </w:p>
        </w:tc>
      </w:tr>
      <w:tr w:rsidR="00701E56" w:rsidRPr="00701E56" w14:paraId="1E543E6E" w14:textId="77777777" w:rsidTr="00701E56">
        <w:trPr>
          <w:trHeight w:val="735"/>
        </w:trPr>
        <w:tc>
          <w:tcPr>
            <w:tcW w:w="1860" w:type="dxa"/>
            <w:tcBorders>
              <w:top w:val="nil"/>
              <w:left w:val="single" w:sz="8" w:space="0" w:color="666666"/>
              <w:bottom w:val="single" w:sz="8" w:space="0" w:color="666666"/>
              <w:right w:val="single" w:sz="8" w:space="0" w:color="666666"/>
            </w:tcBorders>
            <w:shd w:val="clear" w:color="auto" w:fill="auto"/>
            <w:vAlign w:val="center"/>
            <w:hideMark/>
          </w:tcPr>
          <w:p w14:paraId="21D9F822" w14:textId="77777777" w:rsidR="00701E56" w:rsidRPr="00701E56" w:rsidRDefault="00701E56" w:rsidP="00701E56">
            <w:pPr>
              <w:spacing w:before="0" w:after="0" w:line="240" w:lineRule="auto"/>
              <w:jc w:val="both"/>
              <w:rPr>
                <w:rFonts w:ascii="Calibri" w:eastAsia="Times New Roman" w:hAnsi="Calibri" w:cs="Calibri"/>
                <w:b/>
                <w:bCs/>
                <w:sz w:val="18"/>
                <w:szCs w:val="18"/>
                <w:lang w:eastAsia="it-IT"/>
              </w:rPr>
            </w:pPr>
            <w:r w:rsidRPr="00701E56">
              <w:rPr>
                <w:rFonts w:ascii="Calibri" w:eastAsia="Times New Roman" w:hAnsi="Calibri" w:cs="Calibri"/>
                <w:b/>
                <w:bCs/>
                <w:sz w:val="18"/>
                <w:szCs w:val="18"/>
                <w:lang w:eastAsia="it-IT"/>
              </w:rPr>
              <w:t>Impatto Medio-Alto</w:t>
            </w:r>
          </w:p>
        </w:tc>
        <w:tc>
          <w:tcPr>
            <w:tcW w:w="7280" w:type="dxa"/>
            <w:tcBorders>
              <w:top w:val="nil"/>
              <w:left w:val="nil"/>
              <w:bottom w:val="single" w:sz="8" w:space="0" w:color="666666"/>
              <w:right w:val="single" w:sz="8" w:space="0" w:color="666666"/>
            </w:tcBorders>
            <w:shd w:val="clear" w:color="auto" w:fill="auto"/>
            <w:vAlign w:val="center"/>
            <w:hideMark/>
          </w:tcPr>
          <w:p w14:paraId="4210ECAB" w14:textId="77777777" w:rsidR="00701E56" w:rsidRPr="00701E56" w:rsidRDefault="00701E56" w:rsidP="00701E56">
            <w:pPr>
              <w:spacing w:before="0" w:after="0" w:line="240" w:lineRule="auto"/>
              <w:jc w:val="both"/>
              <w:rPr>
                <w:rFonts w:ascii="Calibri" w:eastAsia="Times New Roman" w:hAnsi="Calibri" w:cs="Calibri"/>
                <w:sz w:val="18"/>
                <w:szCs w:val="18"/>
                <w:lang w:eastAsia="it-IT"/>
              </w:rPr>
            </w:pPr>
            <w:r w:rsidRPr="00701E56">
              <w:rPr>
                <w:rFonts w:ascii="Calibri" w:eastAsia="Times New Roman" w:hAnsi="Calibri" w:cs="Calibri"/>
                <w:sz w:val="18"/>
                <w:szCs w:val="18"/>
                <w:lang w:eastAsia="it-IT"/>
              </w:rPr>
              <w:t>L’evento rischioso comporta danni amministrativi, economici e di immagine, difficoltà a raggiungere gli obiettivi dell’organizzazione ed eventuali danni nei confronti dell’utenza</w:t>
            </w:r>
          </w:p>
        </w:tc>
      </w:tr>
      <w:tr w:rsidR="00701E56" w:rsidRPr="00701E56" w14:paraId="2E6BE052" w14:textId="77777777" w:rsidTr="00701E56">
        <w:trPr>
          <w:trHeight w:val="495"/>
        </w:trPr>
        <w:tc>
          <w:tcPr>
            <w:tcW w:w="1860" w:type="dxa"/>
            <w:tcBorders>
              <w:top w:val="nil"/>
              <w:left w:val="single" w:sz="8" w:space="0" w:color="666666"/>
              <w:bottom w:val="single" w:sz="8" w:space="0" w:color="666666"/>
              <w:right w:val="single" w:sz="8" w:space="0" w:color="666666"/>
            </w:tcBorders>
            <w:shd w:val="clear" w:color="000000" w:fill="CCCCCC"/>
            <w:vAlign w:val="center"/>
            <w:hideMark/>
          </w:tcPr>
          <w:p w14:paraId="20EBC16D" w14:textId="77777777" w:rsidR="00701E56" w:rsidRPr="00701E56" w:rsidRDefault="00701E56" w:rsidP="00701E56">
            <w:pPr>
              <w:spacing w:before="0" w:after="0" w:line="240" w:lineRule="auto"/>
              <w:jc w:val="both"/>
              <w:rPr>
                <w:rFonts w:ascii="Calibri" w:eastAsia="Times New Roman" w:hAnsi="Calibri" w:cs="Calibri"/>
                <w:b/>
                <w:bCs/>
                <w:color w:val="000000"/>
                <w:sz w:val="18"/>
                <w:szCs w:val="18"/>
                <w:lang w:eastAsia="it-IT"/>
              </w:rPr>
            </w:pPr>
            <w:r w:rsidRPr="00701E56">
              <w:rPr>
                <w:rFonts w:ascii="Calibri" w:eastAsia="Times New Roman" w:hAnsi="Calibri" w:cs="Calibri"/>
                <w:b/>
                <w:bCs/>
                <w:color w:val="000000"/>
                <w:sz w:val="18"/>
                <w:szCs w:val="18"/>
                <w:lang w:eastAsia="it-IT"/>
              </w:rPr>
              <w:t>Impatto Medio</w:t>
            </w:r>
          </w:p>
        </w:tc>
        <w:tc>
          <w:tcPr>
            <w:tcW w:w="7280" w:type="dxa"/>
            <w:tcBorders>
              <w:top w:val="nil"/>
              <w:left w:val="nil"/>
              <w:bottom w:val="single" w:sz="8" w:space="0" w:color="666666"/>
              <w:right w:val="single" w:sz="8" w:space="0" w:color="666666"/>
            </w:tcBorders>
            <w:shd w:val="clear" w:color="000000" w:fill="CCCCCC"/>
            <w:vAlign w:val="center"/>
            <w:hideMark/>
          </w:tcPr>
          <w:p w14:paraId="0F6846AC" w14:textId="77777777" w:rsidR="00701E56" w:rsidRPr="00701E56" w:rsidRDefault="00701E56" w:rsidP="00701E56">
            <w:pPr>
              <w:spacing w:before="0" w:after="0" w:line="240" w:lineRule="auto"/>
              <w:jc w:val="both"/>
              <w:rPr>
                <w:rFonts w:ascii="Calibri" w:eastAsia="Times New Roman" w:hAnsi="Calibri" w:cs="Calibri"/>
                <w:color w:val="000000"/>
                <w:sz w:val="18"/>
                <w:szCs w:val="18"/>
                <w:lang w:eastAsia="it-IT"/>
              </w:rPr>
            </w:pPr>
            <w:r w:rsidRPr="00701E56">
              <w:rPr>
                <w:rFonts w:ascii="Calibri" w:eastAsia="Times New Roman" w:hAnsi="Calibri" w:cs="Calibri"/>
                <w:color w:val="000000"/>
                <w:sz w:val="18"/>
                <w:szCs w:val="18"/>
                <w:lang w:eastAsia="it-IT"/>
              </w:rPr>
              <w:t>L’evento rischioso comporta danni economici e di immagine, con ripercussioni di media entità sui servizi offerti all’utenza</w:t>
            </w:r>
          </w:p>
        </w:tc>
      </w:tr>
      <w:tr w:rsidR="00701E56" w:rsidRPr="00701E56" w14:paraId="72DAFECB" w14:textId="77777777" w:rsidTr="00701E56">
        <w:trPr>
          <w:trHeight w:val="495"/>
        </w:trPr>
        <w:tc>
          <w:tcPr>
            <w:tcW w:w="1860" w:type="dxa"/>
            <w:tcBorders>
              <w:top w:val="nil"/>
              <w:left w:val="single" w:sz="8" w:space="0" w:color="666666"/>
              <w:bottom w:val="single" w:sz="8" w:space="0" w:color="666666"/>
              <w:right w:val="single" w:sz="8" w:space="0" w:color="666666"/>
            </w:tcBorders>
            <w:shd w:val="clear" w:color="auto" w:fill="auto"/>
            <w:vAlign w:val="center"/>
            <w:hideMark/>
          </w:tcPr>
          <w:p w14:paraId="7B89673A" w14:textId="77777777" w:rsidR="00701E56" w:rsidRPr="00701E56" w:rsidRDefault="00701E56" w:rsidP="00701E56">
            <w:pPr>
              <w:spacing w:before="0" w:after="0" w:line="240" w:lineRule="auto"/>
              <w:jc w:val="both"/>
              <w:rPr>
                <w:rFonts w:ascii="Calibri" w:eastAsia="Times New Roman" w:hAnsi="Calibri" w:cs="Calibri"/>
                <w:b/>
                <w:bCs/>
                <w:sz w:val="18"/>
                <w:szCs w:val="18"/>
                <w:lang w:eastAsia="it-IT"/>
              </w:rPr>
            </w:pPr>
            <w:r w:rsidRPr="00701E56">
              <w:rPr>
                <w:rFonts w:ascii="Calibri" w:eastAsia="Times New Roman" w:hAnsi="Calibri" w:cs="Calibri"/>
                <w:b/>
                <w:bCs/>
                <w:sz w:val="18"/>
                <w:szCs w:val="18"/>
                <w:lang w:eastAsia="it-IT"/>
              </w:rPr>
              <w:t>Impatto Medio-Basso</w:t>
            </w:r>
          </w:p>
        </w:tc>
        <w:tc>
          <w:tcPr>
            <w:tcW w:w="7280" w:type="dxa"/>
            <w:tcBorders>
              <w:top w:val="nil"/>
              <w:left w:val="nil"/>
              <w:bottom w:val="single" w:sz="8" w:space="0" w:color="666666"/>
              <w:right w:val="single" w:sz="8" w:space="0" w:color="666666"/>
            </w:tcBorders>
            <w:shd w:val="clear" w:color="auto" w:fill="auto"/>
            <w:vAlign w:val="center"/>
            <w:hideMark/>
          </w:tcPr>
          <w:p w14:paraId="614A1A2C" w14:textId="77777777" w:rsidR="00701E56" w:rsidRPr="00701E56" w:rsidRDefault="00701E56" w:rsidP="00701E56">
            <w:pPr>
              <w:spacing w:before="0" w:after="0" w:line="240" w:lineRule="auto"/>
              <w:jc w:val="both"/>
              <w:rPr>
                <w:rFonts w:ascii="Calibri" w:eastAsia="Times New Roman" w:hAnsi="Calibri" w:cs="Calibri"/>
                <w:sz w:val="18"/>
                <w:szCs w:val="18"/>
                <w:lang w:eastAsia="it-IT"/>
              </w:rPr>
            </w:pPr>
            <w:r w:rsidRPr="00701E56">
              <w:rPr>
                <w:rFonts w:ascii="Calibri" w:eastAsia="Times New Roman" w:hAnsi="Calibri" w:cs="Calibri"/>
                <w:sz w:val="18"/>
                <w:szCs w:val="18"/>
                <w:lang w:eastAsia="it-IT"/>
              </w:rPr>
              <w:t>L’evento rischioso comporta danni economici e di immagine (non di grave entità), con ripercussioni di bassa entità sui servizi offerti all’utenza</w:t>
            </w:r>
          </w:p>
        </w:tc>
      </w:tr>
      <w:tr w:rsidR="00701E56" w:rsidRPr="00701E56" w14:paraId="64B00F75" w14:textId="77777777" w:rsidTr="00701E56">
        <w:trPr>
          <w:trHeight w:val="495"/>
        </w:trPr>
        <w:tc>
          <w:tcPr>
            <w:tcW w:w="1860" w:type="dxa"/>
            <w:tcBorders>
              <w:top w:val="nil"/>
              <w:left w:val="single" w:sz="8" w:space="0" w:color="666666"/>
              <w:bottom w:val="single" w:sz="8" w:space="0" w:color="666666"/>
              <w:right w:val="single" w:sz="8" w:space="0" w:color="666666"/>
            </w:tcBorders>
            <w:shd w:val="clear" w:color="000000" w:fill="CCCCCC"/>
            <w:vAlign w:val="center"/>
            <w:hideMark/>
          </w:tcPr>
          <w:p w14:paraId="566DB8C4" w14:textId="77777777" w:rsidR="00701E56" w:rsidRPr="00701E56" w:rsidRDefault="00701E56" w:rsidP="00701E56">
            <w:pPr>
              <w:spacing w:before="0" w:after="0" w:line="240" w:lineRule="auto"/>
              <w:jc w:val="both"/>
              <w:rPr>
                <w:rFonts w:ascii="Calibri" w:eastAsia="Times New Roman" w:hAnsi="Calibri" w:cs="Calibri"/>
                <w:b/>
                <w:bCs/>
                <w:color w:val="000000"/>
                <w:sz w:val="18"/>
                <w:szCs w:val="18"/>
                <w:lang w:eastAsia="it-IT"/>
              </w:rPr>
            </w:pPr>
            <w:r w:rsidRPr="00701E56">
              <w:rPr>
                <w:rFonts w:ascii="Calibri" w:eastAsia="Times New Roman" w:hAnsi="Calibri" w:cs="Calibri"/>
                <w:b/>
                <w:bCs/>
                <w:color w:val="000000"/>
                <w:sz w:val="18"/>
                <w:szCs w:val="18"/>
                <w:lang w:eastAsia="it-IT"/>
              </w:rPr>
              <w:t>Impatto Basso</w:t>
            </w:r>
          </w:p>
        </w:tc>
        <w:tc>
          <w:tcPr>
            <w:tcW w:w="7280" w:type="dxa"/>
            <w:tcBorders>
              <w:top w:val="nil"/>
              <w:left w:val="nil"/>
              <w:bottom w:val="single" w:sz="8" w:space="0" w:color="666666"/>
              <w:right w:val="single" w:sz="8" w:space="0" w:color="666666"/>
            </w:tcBorders>
            <w:shd w:val="clear" w:color="000000" w:fill="CCCCCC"/>
            <w:vAlign w:val="center"/>
            <w:hideMark/>
          </w:tcPr>
          <w:p w14:paraId="4A561D55" w14:textId="77777777" w:rsidR="00701E56" w:rsidRPr="00701E56" w:rsidRDefault="00701E56" w:rsidP="00701E56">
            <w:pPr>
              <w:spacing w:before="0" w:after="0" w:line="240" w:lineRule="auto"/>
              <w:jc w:val="both"/>
              <w:rPr>
                <w:rFonts w:ascii="Calibri" w:eastAsia="Times New Roman" w:hAnsi="Calibri" w:cs="Calibri"/>
                <w:color w:val="000000"/>
                <w:sz w:val="18"/>
                <w:szCs w:val="18"/>
                <w:lang w:eastAsia="it-IT"/>
              </w:rPr>
            </w:pPr>
            <w:r w:rsidRPr="00701E56">
              <w:rPr>
                <w:rFonts w:ascii="Calibri" w:eastAsia="Times New Roman" w:hAnsi="Calibri" w:cs="Calibri"/>
                <w:color w:val="000000"/>
                <w:sz w:val="18"/>
                <w:szCs w:val="18"/>
                <w:lang w:eastAsia="it-IT"/>
              </w:rPr>
              <w:t>L’evento rischioso comporta pochi o nulli danni in termini economici, di immagine e di servizi offerti all’utenza</w:t>
            </w:r>
          </w:p>
        </w:tc>
      </w:tr>
    </w:tbl>
    <w:p w14:paraId="2775955A" w14:textId="0D47CA0D" w:rsidR="00701E56" w:rsidRDefault="00701E56" w:rsidP="00A33F87"/>
    <w:p w14:paraId="22CCAF93" w14:textId="77777777" w:rsidR="00D51FE9" w:rsidRPr="00D51FE9" w:rsidRDefault="00D51FE9" w:rsidP="00D51FE9">
      <w:pPr>
        <w:jc w:val="both"/>
      </w:pPr>
      <w:r w:rsidRPr="00D51FE9">
        <w:t>Una volta calcolato il grado di rischio inerente e il livello complessivo di efficacia delle misure, si passa alla media pesata delle due anzidette componenti per arrivare al grado di rischio residuo, ovvero alla valutazione complessiva del rischio di riciclaggio / finanziamento del terrorismo.</w:t>
      </w:r>
    </w:p>
    <w:p w14:paraId="161EFA7D" w14:textId="102B8F04" w:rsidR="00D51FE9" w:rsidRDefault="00D51FE9" w:rsidP="00A33F87">
      <w:r>
        <w:rPr>
          <w:noProof/>
        </w:rPr>
        <w:drawing>
          <wp:inline distT="0" distB="0" distL="0" distR="0" wp14:anchorId="3C30CA25" wp14:editId="36C7CCD3">
            <wp:extent cx="3834952" cy="908630"/>
            <wp:effectExtent l="0" t="0" r="0" b="6350"/>
            <wp:docPr id="16" name="Immagine 15">
              <a:extLst xmlns:a="http://schemas.openxmlformats.org/drawingml/2006/main">
                <a:ext uri="{FF2B5EF4-FFF2-40B4-BE49-F238E27FC236}">
                  <a16:creationId xmlns:a16="http://schemas.microsoft.com/office/drawing/2014/main" id="{7CFFA860-3942-4F3A-874F-74FDC14A5F31}"/>
                </a:ext>
              </a:extLst>
            </wp:docPr>
            <wp:cNvGraphicFramePr/>
            <a:graphic xmlns:a="http://schemas.openxmlformats.org/drawingml/2006/main">
              <a:graphicData uri="http://schemas.openxmlformats.org/drawingml/2006/picture">
                <pic:pic xmlns:pic="http://schemas.openxmlformats.org/drawingml/2006/picture">
                  <pic:nvPicPr>
                    <pic:cNvPr id="16" name="Immagine 15">
                      <a:extLst>
                        <a:ext uri="{FF2B5EF4-FFF2-40B4-BE49-F238E27FC236}">
                          <a16:creationId xmlns:a16="http://schemas.microsoft.com/office/drawing/2014/main" id="{7CFFA860-3942-4F3A-874F-74FDC14A5F31}"/>
                        </a:ext>
                      </a:extLst>
                    </pic:cNvPr>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34952" cy="908630"/>
                    </a:xfrm>
                    <a:prstGeom prst="rect">
                      <a:avLst/>
                    </a:prstGeom>
                    <a:noFill/>
                    <a:ln>
                      <a:noFill/>
                    </a:ln>
                  </pic:spPr>
                </pic:pic>
              </a:graphicData>
            </a:graphic>
          </wp:inline>
        </w:drawing>
      </w:r>
    </w:p>
    <w:p w14:paraId="40890411" w14:textId="77777777" w:rsidR="00D51FE9" w:rsidRPr="00D51FE9" w:rsidRDefault="00D51FE9" w:rsidP="00D51FE9">
      <w:pPr>
        <w:jc w:val="both"/>
      </w:pPr>
      <w:r w:rsidRPr="00D51FE9">
        <w:lastRenderedPageBreak/>
        <w:t xml:space="preserve">NB. </w:t>
      </w:r>
      <w:r w:rsidRPr="00D51FE9">
        <w:rPr>
          <w:i/>
          <w:iCs/>
        </w:rPr>
        <w:t>Nel caso di più eventi rischiosi valutati complessivamente, si assume come rischio di processo la maggiore delle valutazioni di rischio effettuate.</w:t>
      </w:r>
    </w:p>
    <w:p w14:paraId="636DE4E1" w14:textId="77777777" w:rsidR="00D51FE9" w:rsidRPr="00D51FE9" w:rsidRDefault="00D51FE9" w:rsidP="00D51FE9">
      <w:pPr>
        <w:jc w:val="both"/>
      </w:pPr>
      <w:r w:rsidRPr="00D51FE9">
        <w:t>La seconda metodologia qualitativa sviluppata prevede di utilizzare fattori di valutazione derivanti dalla lettura analitica del D.Lgs. 231/07. In particolare, l’art. 15, c. 2 del Decreto prevede che i soggetti obbligati, adottino procedure oggettive e coerenti rispetto ai criteri e alle metodologie di cui al comma 1, per l'analisi e la valutazione dei rischi di riciclaggio e di finanziamento del terrorismo. Per la valutazione del rischio di riciclaggio o di finanziamento del terrorismo, i soggetti obbligati tengono conto di fattori di rischio associati alla tipologia di clientela, all'area geografica di operatività, ai canali distributivi e ai prodotti e i servizi offerti.</w:t>
      </w:r>
    </w:p>
    <w:p w14:paraId="721A39C8" w14:textId="6D18EC5E" w:rsidR="00D51FE9" w:rsidRDefault="00D51FE9" w:rsidP="00D51FE9">
      <w:pPr>
        <w:jc w:val="both"/>
      </w:pPr>
      <w:r>
        <w:rPr>
          <w:noProof/>
        </w:rPr>
        <w:drawing>
          <wp:inline distT="0" distB="0" distL="0" distR="0" wp14:anchorId="7030B0EE" wp14:editId="17009220">
            <wp:extent cx="5552482" cy="906926"/>
            <wp:effectExtent l="0" t="0" r="0" b="7620"/>
            <wp:docPr id="10" name="Immagine 9">
              <a:extLst xmlns:a="http://schemas.openxmlformats.org/drawingml/2006/main">
                <a:ext uri="{FF2B5EF4-FFF2-40B4-BE49-F238E27FC236}">
                  <a16:creationId xmlns:a16="http://schemas.microsoft.com/office/drawing/2014/main" id="{6E627311-DE65-47AF-8F8E-F91B7EBC8C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9">
                      <a:extLst>
                        <a:ext uri="{FF2B5EF4-FFF2-40B4-BE49-F238E27FC236}">
                          <a16:creationId xmlns:a16="http://schemas.microsoft.com/office/drawing/2014/main" id="{6E627311-DE65-47AF-8F8E-F91B7EBC8CA4}"/>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52482" cy="906926"/>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2CEEE431" w14:textId="77777777" w:rsidR="00D51FE9" w:rsidRPr="00D51FE9" w:rsidRDefault="00D51FE9" w:rsidP="00D51FE9">
      <w:r w:rsidRPr="00D51FE9">
        <w:t>I fattori da analizzare per ciascun processo / procedimento a rischio sono i seguenti:</w:t>
      </w:r>
    </w:p>
    <w:tbl>
      <w:tblPr>
        <w:tblW w:w="5000" w:type="pct"/>
        <w:tblCellMar>
          <w:left w:w="70" w:type="dxa"/>
          <w:right w:w="70" w:type="dxa"/>
        </w:tblCellMar>
        <w:tblLook w:val="04A0" w:firstRow="1" w:lastRow="0" w:firstColumn="1" w:lastColumn="0" w:noHBand="0" w:noVBand="1"/>
      </w:tblPr>
      <w:tblGrid>
        <w:gridCol w:w="1309"/>
        <w:gridCol w:w="3604"/>
        <w:gridCol w:w="4012"/>
        <w:gridCol w:w="569"/>
      </w:tblGrid>
      <w:tr w:rsidR="00D51FE9" w:rsidRPr="00D51FE9" w14:paraId="315A8A16" w14:textId="77777777" w:rsidTr="00D51FE9">
        <w:trPr>
          <w:trHeight w:val="270"/>
        </w:trPr>
        <w:tc>
          <w:tcPr>
            <w:tcW w:w="512" w:type="pct"/>
            <w:tcBorders>
              <w:top w:val="single" w:sz="8" w:space="0" w:color="000000"/>
              <w:left w:val="single" w:sz="8" w:space="0" w:color="000000"/>
              <w:bottom w:val="single" w:sz="8" w:space="0" w:color="000000"/>
              <w:right w:val="nil"/>
            </w:tcBorders>
            <w:shd w:val="clear" w:color="000000" w:fill="000000"/>
            <w:vAlign w:val="center"/>
            <w:hideMark/>
          </w:tcPr>
          <w:p w14:paraId="2582E572" w14:textId="77777777" w:rsidR="00D51FE9" w:rsidRPr="00D51FE9" w:rsidRDefault="00D51FE9" w:rsidP="00D51FE9">
            <w:pPr>
              <w:spacing w:before="0" w:after="0" w:line="240" w:lineRule="auto"/>
              <w:jc w:val="both"/>
              <w:rPr>
                <w:rFonts w:ascii="Calibri" w:eastAsia="Times New Roman" w:hAnsi="Calibri" w:cs="Calibri"/>
                <w:b/>
                <w:bCs/>
                <w:color w:val="FFFFFF"/>
                <w:sz w:val="18"/>
                <w:szCs w:val="18"/>
                <w:lang w:eastAsia="it-IT"/>
              </w:rPr>
            </w:pPr>
            <w:r w:rsidRPr="00D51FE9">
              <w:rPr>
                <w:rFonts w:ascii="Calibri" w:eastAsia="Times New Roman" w:hAnsi="Calibri" w:cs="Calibri"/>
                <w:b/>
                <w:bCs/>
                <w:color w:val="FFFFFF"/>
                <w:sz w:val="18"/>
                <w:szCs w:val="18"/>
                <w:lang w:eastAsia="it-IT"/>
              </w:rPr>
              <w:t>Fattori di rischio</w:t>
            </w:r>
          </w:p>
        </w:tc>
        <w:tc>
          <w:tcPr>
            <w:tcW w:w="2004" w:type="pct"/>
            <w:tcBorders>
              <w:top w:val="single" w:sz="8" w:space="0" w:color="000000"/>
              <w:left w:val="nil"/>
              <w:bottom w:val="single" w:sz="8" w:space="0" w:color="000000"/>
              <w:right w:val="nil"/>
            </w:tcBorders>
            <w:shd w:val="clear" w:color="000000" w:fill="000000"/>
            <w:vAlign w:val="center"/>
            <w:hideMark/>
          </w:tcPr>
          <w:p w14:paraId="29A91072" w14:textId="77777777" w:rsidR="00D51FE9" w:rsidRPr="00D51FE9" w:rsidRDefault="00D51FE9" w:rsidP="00D51FE9">
            <w:pPr>
              <w:spacing w:before="0" w:after="0" w:line="240" w:lineRule="auto"/>
              <w:jc w:val="both"/>
              <w:rPr>
                <w:rFonts w:ascii="Calibri" w:eastAsia="Times New Roman" w:hAnsi="Calibri" w:cs="Calibri"/>
                <w:b/>
                <w:bCs/>
                <w:color w:val="FFFFFF"/>
                <w:sz w:val="18"/>
                <w:szCs w:val="18"/>
                <w:lang w:eastAsia="it-IT"/>
              </w:rPr>
            </w:pPr>
            <w:r w:rsidRPr="00D51FE9">
              <w:rPr>
                <w:rFonts w:ascii="Calibri" w:eastAsia="Times New Roman" w:hAnsi="Calibri" w:cs="Calibri"/>
                <w:b/>
                <w:bCs/>
                <w:color w:val="FFFFFF"/>
                <w:sz w:val="18"/>
                <w:szCs w:val="18"/>
                <w:lang w:eastAsia="it-IT"/>
              </w:rPr>
              <w:t xml:space="preserve"> Criteri di valutazione </w:t>
            </w:r>
          </w:p>
        </w:tc>
        <w:tc>
          <w:tcPr>
            <w:tcW w:w="2219" w:type="pct"/>
            <w:tcBorders>
              <w:top w:val="single" w:sz="8" w:space="0" w:color="000000"/>
              <w:left w:val="nil"/>
              <w:bottom w:val="single" w:sz="8" w:space="0" w:color="000000"/>
              <w:right w:val="single" w:sz="8" w:space="0" w:color="000000"/>
            </w:tcBorders>
            <w:shd w:val="clear" w:color="000000" w:fill="000000"/>
            <w:vAlign w:val="center"/>
            <w:hideMark/>
          </w:tcPr>
          <w:p w14:paraId="55E8AA92" w14:textId="77777777" w:rsidR="00D51FE9" w:rsidRPr="00D51FE9" w:rsidRDefault="00D51FE9" w:rsidP="00D51FE9">
            <w:pPr>
              <w:spacing w:before="0" w:after="0" w:line="240" w:lineRule="auto"/>
              <w:jc w:val="both"/>
              <w:rPr>
                <w:rFonts w:ascii="Calibri" w:eastAsia="Times New Roman" w:hAnsi="Calibri" w:cs="Calibri"/>
                <w:color w:val="FFFFFF"/>
                <w:sz w:val="18"/>
                <w:szCs w:val="18"/>
                <w:lang w:eastAsia="it-IT"/>
              </w:rPr>
            </w:pPr>
            <w:r w:rsidRPr="00D51FE9">
              <w:rPr>
                <w:rFonts w:ascii="Calibri" w:eastAsia="Times New Roman" w:hAnsi="Calibri" w:cs="Calibri"/>
                <w:color w:val="FFFFFF"/>
                <w:sz w:val="18"/>
                <w:szCs w:val="18"/>
                <w:lang w:eastAsia="it-IT"/>
              </w:rPr>
              <w:t>Declaratorie</w:t>
            </w:r>
          </w:p>
        </w:tc>
        <w:tc>
          <w:tcPr>
            <w:tcW w:w="264" w:type="pct"/>
            <w:tcBorders>
              <w:top w:val="single" w:sz="8" w:space="0" w:color="000000"/>
              <w:left w:val="nil"/>
              <w:bottom w:val="single" w:sz="8" w:space="0" w:color="000000"/>
              <w:right w:val="single" w:sz="8" w:space="0" w:color="000000"/>
            </w:tcBorders>
            <w:shd w:val="clear" w:color="000000" w:fill="000000"/>
            <w:vAlign w:val="center"/>
            <w:hideMark/>
          </w:tcPr>
          <w:p w14:paraId="59E495FA" w14:textId="77777777" w:rsidR="00D51FE9" w:rsidRPr="00D51FE9" w:rsidRDefault="00D51FE9" w:rsidP="00D51FE9">
            <w:pPr>
              <w:spacing w:before="0" w:after="0" w:line="240" w:lineRule="auto"/>
              <w:jc w:val="center"/>
              <w:rPr>
                <w:rFonts w:ascii="Calibri" w:eastAsia="Times New Roman" w:hAnsi="Calibri" w:cs="Calibri"/>
                <w:color w:val="FFFFFF"/>
                <w:sz w:val="18"/>
                <w:szCs w:val="18"/>
                <w:lang w:eastAsia="it-IT"/>
              </w:rPr>
            </w:pPr>
            <w:r w:rsidRPr="00D51FE9">
              <w:rPr>
                <w:rFonts w:ascii="Calibri" w:eastAsia="Times New Roman" w:hAnsi="Calibri" w:cs="Calibri"/>
                <w:color w:val="FFFFFF"/>
                <w:sz w:val="18"/>
                <w:szCs w:val="18"/>
                <w:lang w:eastAsia="it-IT"/>
              </w:rPr>
              <w:t>Valori</w:t>
            </w:r>
          </w:p>
        </w:tc>
      </w:tr>
      <w:tr w:rsidR="00D51FE9" w:rsidRPr="00D51FE9" w14:paraId="43ECE7DA" w14:textId="77777777" w:rsidTr="00D51FE9">
        <w:trPr>
          <w:trHeight w:val="720"/>
        </w:trPr>
        <w:tc>
          <w:tcPr>
            <w:tcW w:w="512" w:type="pct"/>
            <w:vMerge w:val="restart"/>
            <w:tcBorders>
              <w:top w:val="nil"/>
              <w:left w:val="single" w:sz="8" w:space="0" w:color="666666"/>
              <w:bottom w:val="single" w:sz="8" w:space="0" w:color="666666"/>
              <w:right w:val="single" w:sz="8" w:space="0" w:color="666666"/>
            </w:tcBorders>
            <w:shd w:val="clear" w:color="000000" w:fill="D9D9D9"/>
            <w:vAlign w:val="center"/>
            <w:hideMark/>
          </w:tcPr>
          <w:p w14:paraId="797047E7" w14:textId="77777777" w:rsidR="00D51FE9" w:rsidRPr="00D51FE9" w:rsidRDefault="00D51FE9" w:rsidP="00D51FE9">
            <w:pPr>
              <w:spacing w:before="0" w:after="0" w:line="240" w:lineRule="auto"/>
              <w:jc w:val="both"/>
              <w:rPr>
                <w:rFonts w:ascii="Calibri" w:eastAsia="Times New Roman" w:hAnsi="Calibri" w:cs="Calibri"/>
                <w:b/>
                <w:bCs/>
                <w:color w:val="000000"/>
                <w:sz w:val="18"/>
                <w:szCs w:val="18"/>
                <w:lang w:eastAsia="it-IT"/>
              </w:rPr>
            </w:pPr>
            <w:r w:rsidRPr="00D51FE9">
              <w:rPr>
                <w:rFonts w:ascii="Calibri" w:eastAsia="Times New Roman" w:hAnsi="Calibri" w:cs="Calibri"/>
                <w:b/>
                <w:bCs/>
                <w:color w:val="000000"/>
                <w:sz w:val="18"/>
                <w:szCs w:val="18"/>
                <w:lang w:eastAsia="it-IT"/>
              </w:rPr>
              <w:t>Tipologia clientela</w:t>
            </w:r>
          </w:p>
        </w:tc>
        <w:tc>
          <w:tcPr>
            <w:tcW w:w="2004" w:type="pct"/>
            <w:vMerge w:val="restart"/>
            <w:tcBorders>
              <w:top w:val="nil"/>
              <w:left w:val="single" w:sz="8" w:space="0" w:color="666666"/>
              <w:bottom w:val="single" w:sz="8" w:space="0" w:color="666666"/>
              <w:right w:val="single" w:sz="8" w:space="0" w:color="666666"/>
            </w:tcBorders>
            <w:shd w:val="clear" w:color="000000" w:fill="D9D9D9"/>
            <w:vAlign w:val="center"/>
            <w:hideMark/>
          </w:tcPr>
          <w:p w14:paraId="638367EB" w14:textId="77777777" w:rsidR="00D51FE9" w:rsidRPr="00D51FE9" w:rsidRDefault="00D51FE9" w:rsidP="00D51FE9">
            <w:pPr>
              <w:spacing w:before="0" w:after="0" w:line="240" w:lineRule="auto"/>
              <w:jc w:val="both"/>
              <w:rPr>
                <w:rFonts w:ascii="Calibri" w:eastAsia="Times New Roman" w:hAnsi="Calibri" w:cs="Calibri"/>
                <w:sz w:val="18"/>
                <w:szCs w:val="18"/>
                <w:lang w:eastAsia="it-IT"/>
              </w:rPr>
            </w:pPr>
            <w:r w:rsidRPr="00D51FE9">
              <w:rPr>
                <w:rFonts w:ascii="Calibri" w:eastAsia="Times New Roman" w:hAnsi="Calibri" w:cs="Calibri"/>
                <w:sz w:val="18"/>
                <w:szCs w:val="18"/>
                <w:lang w:eastAsia="it-IT"/>
              </w:rPr>
              <w:t>La valutazione va effettuata tenendo conto del numero dei clienti/utenti (in valore assoluto) e delle caratteristiche oggettive e soggettive della clientela/utenza; a titolo esemplificativo, incidono elementi quali il tipo di attività dei clienti/utenti (esposta o meno ad infiltrazioni criminali o legata a particolari settori più a rischio), l’inquadramento giuridico, la presenza o meno di organismi o Autorità di controllo (collegio sindacale, revisore, Organismo di Vigilanza ex D.Lgs. 231/2001), la complessità e la dimensione aziendale, il volume e l’ammontare delle transazioni del cliente/utente, la presenza di persone politicamente esposte ovvero di soggetti sottoposti a indagini o procedimenti penali, ovvero aventi legami con soggetti a rischio o censiti in liste c.d. antiterrorismo</w:t>
            </w:r>
          </w:p>
        </w:tc>
        <w:tc>
          <w:tcPr>
            <w:tcW w:w="2219" w:type="pct"/>
            <w:tcBorders>
              <w:top w:val="nil"/>
              <w:left w:val="nil"/>
              <w:bottom w:val="nil"/>
              <w:right w:val="single" w:sz="8" w:space="0" w:color="666666"/>
            </w:tcBorders>
            <w:shd w:val="clear" w:color="000000" w:fill="D9D9D9"/>
            <w:vAlign w:val="center"/>
            <w:hideMark/>
          </w:tcPr>
          <w:p w14:paraId="43369E14" w14:textId="77777777" w:rsidR="00D51FE9" w:rsidRPr="00D51FE9" w:rsidRDefault="00D51FE9" w:rsidP="00D51FE9">
            <w:pPr>
              <w:spacing w:before="0" w:after="0" w:line="240" w:lineRule="auto"/>
              <w:jc w:val="both"/>
              <w:rPr>
                <w:rFonts w:ascii="Calibri" w:eastAsia="Times New Roman" w:hAnsi="Calibri" w:cs="Calibri"/>
                <w:b/>
                <w:bCs/>
                <w:sz w:val="18"/>
                <w:szCs w:val="18"/>
                <w:lang w:eastAsia="it-IT"/>
              </w:rPr>
            </w:pPr>
            <w:r w:rsidRPr="00D51FE9">
              <w:rPr>
                <w:rFonts w:ascii="Calibri" w:eastAsia="Times New Roman" w:hAnsi="Calibri" w:cs="Calibri"/>
                <w:b/>
                <w:bCs/>
                <w:sz w:val="18"/>
                <w:szCs w:val="18"/>
                <w:lang w:eastAsia="it-IT"/>
              </w:rPr>
              <w:t>Rischio Alto:</w:t>
            </w:r>
            <w:r w:rsidRPr="00D51FE9">
              <w:rPr>
                <w:rFonts w:ascii="Calibri" w:eastAsia="Times New Roman" w:hAnsi="Calibri" w:cs="Calibri"/>
                <w:sz w:val="18"/>
                <w:szCs w:val="18"/>
                <w:lang w:eastAsia="it-IT"/>
              </w:rPr>
              <w:t xml:space="preserve"> Un numero molto elevato di clienti/utenti con i quali si entra in contatto sono ad alto rischio in relazione alla presenza di una o più caratteristiche tra quelle indicate nella declaratoria</w:t>
            </w:r>
          </w:p>
        </w:tc>
        <w:tc>
          <w:tcPr>
            <w:tcW w:w="26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15B3AD6"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22,5</w:t>
            </w:r>
          </w:p>
        </w:tc>
      </w:tr>
      <w:tr w:rsidR="00D51FE9" w:rsidRPr="00D51FE9" w14:paraId="64B0C2F8" w14:textId="77777777" w:rsidTr="00D51FE9">
        <w:trPr>
          <w:trHeight w:val="720"/>
        </w:trPr>
        <w:tc>
          <w:tcPr>
            <w:tcW w:w="512" w:type="pct"/>
            <w:vMerge/>
            <w:tcBorders>
              <w:top w:val="nil"/>
              <w:left w:val="single" w:sz="8" w:space="0" w:color="666666"/>
              <w:bottom w:val="single" w:sz="8" w:space="0" w:color="666666"/>
              <w:right w:val="single" w:sz="8" w:space="0" w:color="666666"/>
            </w:tcBorders>
            <w:vAlign w:val="center"/>
            <w:hideMark/>
          </w:tcPr>
          <w:p w14:paraId="7287744D" w14:textId="77777777" w:rsidR="00D51FE9" w:rsidRPr="00D51FE9" w:rsidRDefault="00D51FE9" w:rsidP="00D51FE9">
            <w:pPr>
              <w:spacing w:before="0" w:after="0" w:line="240" w:lineRule="auto"/>
              <w:rPr>
                <w:rFonts w:ascii="Calibri" w:eastAsia="Times New Roman" w:hAnsi="Calibri" w:cs="Calibri"/>
                <w:b/>
                <w:bCs/>
                <w:color w:val="000000"/>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5185B392" w14:textId="77777777" w:rsidR="00D51FE9" w:rsidRPr="00D51FE9" w:rsidRDefault="00D51FE9" w:rsidP="00D51FE9">
            <w:pPr>
              <w:spacing w:before="0" w:after="0" w:line="240" w:lineRule="auto"/>
              <w:rPr>
                <w:rFonts w:ascii="Calibri" w:eastAsia="Times New Roman" w:hAnsi="Calibri" w:cs="Calibri"/>
                <w:sz w:val="18"/>
                <w:szCs w:val="18"/>
                <w:lang w:eastAsia="it-IT"/>
              </w:rPr>
            </w:pPr>
          </w:p>
        </w:tc>
        <w:tc>
          <w:tcPr>
            <w:tcW w:w="2219" w:type="pct"/>
            <w:tcBorders>
              <w:top w:val="nil"/>
              <w:left w:val="nil"/>
              <w:bottom w:val="nil"/>
              <w:right w:val="single" w:sz="8" w:space="0" w:color="666666"/>
            </w:tcBorders>
            <w:shd w:val="clear" w:color="000000" w:fill="D9D9D9"/>
            <w:vAlign w:val="center"/>
            <w:hideMark/>
          </w:tcPr>
          <w:p w14:paraId="1146BCC9" w14:textId="77777777" w:rsidR="00D51FE9" w:rsidRPr="00D51FE9" w:rsidRDefault="00D51FE9" w:rsidP="00D51FE9">
            <w:pPr>
              <w:spacing w:before="0" w:after="0" w:line="240" w:lineRule="auto"/>
              <w:jc w:val="both"/>
              <w:rPr>
                <w:rFonts w:ascii="Calibri" w:eastAsia="Times New Roman" w:hAnsi="Calibri" w:cs="Calibri"/>
                <w:b/>
                <w:bCs/>
                <w:sz w:val="18"/>
                <w:szCs w:val="18"/>
                <w:lang w:eastAsia="it-IT"/>
              </w:rPr>
            </w:pPr>
            <w:r w:rsidRPr="00D51FE9">
              <w:rPr>
                <w:rFonts w:ascii="Calibri" w:eastAsia="Times New Roman" w:hAnsi="Calibri" w:cs="Calibri"/>
                <w:b/>
                <w:bCs/>
                <w:sz w:val="18"/>
                <w:szCs w:val="18"/>
                <w:lang w:eastAsia="it-IT"/>
              </w:rPr>
              <w:t>Rischio Medio-Alto:</w:t>
            </w:r>
            <w:r w:rsidRPr="00D51FE9">
              <w:rPr>
                <w:rFonts w:ascii="Calibri" w:eastAsia="Times New Roman" w:hAnsi="Calibri" w:cs="Calibri"/>
                <w:sz w:val="18"/>
                <w:szCs w:val="18"/>
                <w:lang w:eastAsia="it-IT"/>
              </w:rPr>
              <w:t xml:space="preserve"> Un numero abbastanza elevato di clienti/utenti con i quali si entra in contatto sono ad alto rischio in relazione alla presenza di una o più caratteristiche tra quelle indicate nella declaratoria</w:t>
            </w:r>
          </w:p>
        </w:tc>
        <w:tc>
          <w:tcPr>
            <w:tcW w:w="264" w:type="pct"/>
            <w:tcBorders>
              <w:top w:val="nil"/>
              <w:left w:val="single" w:sz="4" w:space="0" w:color="auto"/>
              <w:bottom w:val="single" w:sz="4" w:space="0" w:color="auto"/>
              <w:right w:val="single" w:sz="4" w:space="0" w:color="auto"/>
            </w:tcBorders>
            <w:shd w:val="clear" w:color="000000" w:fill="D9D9D9"/>
            <w:noWrap/>
            <w:vAlign w:val="center"/>
            <w:hideMark/>
          </w:tcPr>
          <w:p w14:paraId="61C52F34"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17,5</w:t>
            </w:r>
          </w:p>
        </w:tc>
      </w:tr>
      <w:tr w:rsidR="00D51FE9" w:rsidRPr="00D51FE9" w14:paraId="122EFF23" w14:textId="77777777" w:rsidTr="00D51FE9">
        <w:trPr>
          <w:trHeight w:val="720"/>
        </w:trPr>
        <w:tc>
          <w:tcPr>
            <w:tcW w:w="512" w:type="pct"/>
            <w:vMerge/>
            <w:tcBorders>
              <w:top w:val="nil"/>
              <w:left w:val="single" w:sz="8" w:space="0" w:color="666666"/>
              <w:bottom w:val="single" w:sz="8" w:space="0" w:color="666666"/>
              <w:right w:val="single" w:sz="8" w:space="0" w:color="666666"/>
            </w:tcBorders>
            <w:vAlign w:val="center"/>
            <w:hideMark/>
          </w:tcPr>
          <w:p w14:paraId="6C347F34" w14:textId="77777777" w:rsidR="00D51FE9" w:rsidRPr="00D51FE9" w:rsidRDefault="00D51FE9" w:rsidP="00D51FE9">
            <w:pPr>
              <w:spacing w:before="0" w:after="0" w:line="240" w:lineRule="auto"/>
              <w:rPr>
                <w:rFonts w:ascii="Calibri" w:eastAsia="Times New Roman" w:hAnsi="Calibri" w:cs="Calibri"/>
                <w:b/>
                <w:bCs/>
                <w:color w:val="000000"/>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3500E94C" w14:textId="77777777" w:rsidR="00D51FE9" w:rsidRPr="00D51FE9" w:rsidRDefault="00D51FE9" w:rsidP="00D51FE9">
            <w:pPr>
              <w:spacing w:before="0" w:after="0" w:line="240" w:lineRule="auto"/>
              <w:rPr>
                <w:rFonts w:ascii="Calibri" w:eastAsia="Times New Roman" w:hAnsi="Calibri" w:cs="Calibri"/>
                <w:sz w:val="18"/>
                <w:szCs w:val="18"/>
                <w:lang w:eastAsia="it-IT"/>
              </w:rPr>
            </w:pPr>
          </w:p>
        </w:tc>
        <w:tc>
          <w:tcPr>
            <w:tcW w:w="2219" w:type="pct"/>
            <w:tcBorders>
              <w:top w:val="nil"/>
              <w:left w:val="nil"/>
              <w:bottom w:val="nil"/>
              <w:right w:val="single" w:sz="8" w:space="0" w:color="666666"/>
            </w:tcBorders>
            <w:shd w:val="clear" w:color="000000" w:fill="D9D9D9"/>
            <w:vAlign w:val="center"/>
            <w:hideMark/>
          </w:tcPr>
          <w:p w14:paraId="7F02E8BD" w14:textId="77777777" w:rsidR="00D51FE9" w:rsidRPr="00D51FE9" w:rsidRDefault="00D51FE9" w:rsidP="00D51FE9">
            <w:pPr>
              <w:spacing w:before="0" w:after="0" w:line="240" w:lineRule="auto"/>
              <w:jc w:val="both"/>
              <w:rPr>
                <w:rFonts w:ascii="Calibri" w:eastAsia="Times New Roman" w:hAnsi="Calibri" w:cs="Calibri"/>
                <w:b/>
                <w:bCs/>
                <w:sz w:val="18"/>
                <w:szCs w:val="18"/>
                <w:lang w:eastAsia="it-IT"/>
              </w:rPr>
            </w:pPr>
            <w:r w:rsidRPr="00D51FE9">
              <w:rPr>
                <w:rFonts w:ascii="Calibri" w:eastAsia="Times New Roman" w:hAnsi="Calibri" w:cs="Calibri"/>
                <w:b/>
                <w:bCs/>
                <w:sz w:val="18"/>
                <w:szCs w:val="18"/>
                <w:lang w:eastAsia="it-IT"/>
              </w:rPr>
              <w:t>Rischio Medio:</w:t>
            </w:r>
            <w:r w:rsidRPr="00D51FE9">
              <w:rPr>
                <w:rFonts w:ascii="Calibri" w:eastAsia="Times New Roman" w:hAnsi="Calibri" w:cs="Calibri"/>
                <w:sz w:val="18"/>
                <w:szCs w:val="18"/>
                <w:lang w:eastAsia="it-IT"/>
              </w:rPr>
              <w:t xml:space="preserve"> Un numero significativo di clienti/utenti con i quali si entra in contatto sono ad alto rischio in relazione alla presenza di una o più caratteristiche tra quelle indicate nella declaratoria</w:t>
            </w:r>
          </w:p>
        </w:tc>
        <w:tc>
          <w:tcPr>
            <w:tcW w:w="264" w:type="pct"/>
            <w:tcBorders>
              <w:top w:val="nil"/>
              <w:left w:val="single" w:sz="4" w:space="0" w:color="auto"/>
              <w:bottom w:val="single" w:sz="4" w:space="0" w:color="auto"/>
              <w:right w:val="single" w:sz="4" w:space="0" w:color="auto"/>
            </w:tcBorders>
            <w:shd w:val="clear" w:color="000000" w:fill="D9D9D9"/>
            <w:noWrap/>
            <w:vAlign w:val="center"/>
            <w:hideMark/>
          </w:tcPr>
          <w:p w14:paraId="2DA79C96"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12,5</w:t>
            </w:r>
          </w:p>
        </w:tc>
      </w:tr>
      <w:tr w:rsidR="00D51FE9" w:rsidRPr="00D51FE9" w14:paraId="7F7F8144" w14:textId="77777777" w:rsidTr="00D51FE9">
        <w:trPr>
          <w:trHeight w:val="720"/>
        </w:trPr>
        <w:tc>
          <w:tcPr>
            <w:tcW w:w="512" w:type="pct"/>
            <w:vMerge/>
            <w:tcBorders>
              <w:top w:val="nil"/>
              <w:left w:val="single" w:sz="8" w:space="0" w:color="666666"/>
              <w:bottom w:val="single" w:sz="8" w:space="0" w:color="666666"/>
              <w:right w:val="single" w:sz="8" w:space="0" w:color="666666"/>
            </w:tcBorders>
            <w:vAlign w:val="center"/>
            <w:hideMark/>
          </w:tcPr>
          <w:p w14:paraId="2FFE909F" w14:textId="77777777" w:rsidR="00D51FE9" w:rsidRPr="00D51FE9" w:rsidRDefault="00D51FE9" w:rsidP="00D51FE9">
            <w:pPr>
              <w:spacing w:before="0" w:after="0" w:line="240" w:lineRule="auto"/>
              <w:rPr>
                <w:rFonts w:ascii="Calibri" w:eastAsia="Times New Roman" w:hAnsi="Calibri" w:cs="Calibri"/>
                <w:b/>
                <w:bCs/>
                <w:color w:val="000000"/>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53FEF25C" w14:textId="77777777" w:rsidR="00D51FE9" w:rsidRPr="00D51FE9" w:rsidRDefault="00D51FE9" w:rsidP="00D51FE9">
            <w:pPr>
              <w:spacing w:before="0" w:after="0" w:line="240" w:lineRule="auto"/>
              <w:rPr>
                <w:rFonts w:ascii="Calibri" w:eastAsia="Times New Roman" w:hAnsi="Calibri" w:cs="Calibri"/>
                <w:sz w:val="18"/>
                <w:szCs w:val="18"/>
                <w:lang w:eastAsia="it-IT"/>
              </w:rPr>
            </w:pPr>
          </w:p>
        </w:tc>
        <w:tc>
          <w:tcPr>
            <w:tcW w:w="2219" w:type="pct"/>
            <w:tcBorders>
              <w:top w:val="nil"/>
              <w:left w:val="nil"/>
              <w:bottom w:val="nil"/>
              <w:right w:val="single" w:sz="8" w:space="0" w:color="666666"/>
            </w:tcBorders>
            <w:shd w:val="clear" w:color="000000" w:fill="D9D9D9"/>
            <w:vAlign w:val="center"/>
            <w:hideMark/>
          </w:tcPr>
          <w:p w14:paraId="76A4A203" w14:textId="77777777" w:rsidR="00D51FE9" w:rsidRPr="00D51FE9" w:rsidRDefault="00D51FE9" w:rsidP="00D51FE9">
            <w:pPr>
              <w:spacing w:before="0" w:after="0" w:line="240" w:lineRule="auto"/>
              <w:jc w:val="both"/>
              <w:rPr>
                <w:rFonts w:ascii="Calibri" w:eastAsia="Times New Roman" w:hAnsi="Calibri" w:cs="Calibri"/>
                <w:b/>
                <w:bCs/>
                <w:sz w:val="18"/>
                <w:szCs w:val="18"/>
                <w:lang w:eastAsia="it-IT"/>
              </w:rPr>
            </w:pPr>
            <w:r w:rsidRPr="00D51FE9">
              <w:rPr>
                <w:rFonts w:ascii="Calibri" w:eastAsia="Times New Roman" w:hAnsi="Calibri" w:cs="Calibri"/>
                <w:b/>
                <w:bCs/>
                <w:sz w:val="18"/>
                <w:szCs w:val="18"/>
                <w:lang w:eastAsia="it-IT"/>
              </w:rPr>
              <w:t>Rischio Medio-Basso:</w:t>
            </w:r>
            <w:r w:rsidRPr="00D51FE9">
              <w:rPr>
                <w:rFonts w:ascii="Calibri" w:eastAsia="Times New Roman" w:hAnsi="Calibri" w:cs="Calibri"/>
                <w:sz w:val="18"/>
                <w:szCs w:val="18"/>
                <w:lang w:eastAsia="it-IT"/>
              </w:rPr>
              <w:t xml:space="preserve"> Un numero esiguo di clienti/utenti con i quali si entra in contatto sono ad alto rischio in relazione alla presenza di una o più caratteristiche tra quelle indicate nella declaratoria</w:t>
            </w:r>
          </w:p>
        </w:tc>
        <w:tc>
          <w:tcPr>
            <w:tcW w:w="264" w:type="pct"/>
            <w:tcBorders>
              <w:top w:val="nil"/>
              <w:left w:val="single" w:sz="4" w:space="0" w:color="auto"/>
              <w:bottom w:val="single" w:sz="4" w:space="0" w:color="auto"/>
              <w:right w:val="single" w:sz="4" w:space="0" w:color="auto"/>
            </w:tcBorders>
            <w:shd w:val="clear" w:color="000000" w:fill="D9D9D9"/>
            <w:noWrap/>
            <w:vAlign w:val="center"/>
            <w:hideMark/>
          </w:tcPr>
          <w:p w14:paraId="24E85131"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7,5</w:t>
            </w:r>
          </w:p>
        </w:tc>
      </w:tr>
      <w:tr w:rsidR="00D51FE9" w:rsidRPr="00D51FE9" w14:paraId="407C6FFD" w14:textId="77777777" w:rsidTr="00D51FE9">
        <w:trPr>
          <w:trHeight w:val="735"/>
        </w:trPr>
        <w:tc>
          <w:tcPr>
            <w:tcW w:w="512" w:type="pct"/>
            <w:vMerge/>
            <w:tcBorders>
              <w:top w:val="nil"/>
              <w:left w:val="single" w:sz="8" w:space="0" w:color="666666"/>
              <w:bottom w:val="single" w:sz="8" w:space="0" w:color="666666"/>
              <w:right w:val="single" w:sz="8" w:space="0" w:color="666666"/>
            </w:tcBorders>
            <w:vAlign w:val="center"/>
            <w:hideMark/>
          </w:tcPr>
          <w:p w14:paraId="598EFDF2" w14:textId="77777777" w:rsidR="00D51FE9" w:rsidRPr="00D51FE9" w:rsidRDefault="00D51FE9" w:rsidP="00D51FE9">
            <w:pPr>
              <w:spacing w:before="0" w:after="0" w:line="240" w:lineRule="auto"/>
              <w:rPr>
                <w:rFonts w:ascii="Calibri" w:eastAsia="Times New Roman" w:hAnsi="Calibri" w:cs="Calibri"/>
                <w:b/>
                <w:bCs/>
                <w:color w:val="000000"/>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5DB10AA6" w14:textId="77777777" w:rsidR="00D51FE9" w:rsidRPr="00D51FE9" w:rsidRDefault="00D51FE9" w:rsidP="00D51FE9">
            <w:pPr>
              <w:spacing w:before="0" w:after="0" w:line="240" w:lineRule="auto"/>
              <w:rPr>
                <w:rFonts w:ascii="Calibri" w:eastAsia="Times New Roman" w:hAnsi="Calibri" w:cs="Calibri"/>
                <w:sz w:val="18"/>
                <w:szCs w:val="18"/>
                <w:lang w:eastAsia="it-IT"/>
              </w:rPr>
            </w:pPr>
          </w:p>
        </w:tc>
        <w:tc>
          <w:tcPr>
            <w:tcW w:w="2219" w:type="pct"/>
            <w:tcBorders>
              <w:top w:val="nil"/>
              <w:left w:val="nil"/>
              <w:bottom w:val="single" w:sz="8" w:space="0" w:color="666666"/>
              <w:right w:val="single" w:sz="8" w:space="0" w:color="666666"/>
            </w:tcBorders>
            <w:shd w:val="clear" w:color="000000" w:fill="D9D9D9"/>
            <w:vAlign w:val="center"/>
            <w:hideMark/>
          </w:tcPr>
          <w:p w14:paraId="6BF2650F" w14:textId="77777777" w:rsidR="00D51FE9" w:rsidRPr="00D51FE9" w:rsidRDefault="00D51FE9" w:rsidP="00D51FE9">
            <w:pPr>
              <w:spacing w:before="0" w:after="0" w:line="240" w:lineRule="auto"/>
              <w:jc w:val="both"/>
              <w:rPr>
                <w:rFonts w:ascii="Calibri" w:eastAsia="Times New Roman" w:hAnsi="Calibri" w:cs="Calibri"/>
                <w:b/>
                <w:bCs/>
                <w:sz w:val="18"/>
                <w:szCs w:val="18"/>
                <w:lang w:eastAsia="it-IT"/>
              </w:rPr>
            </w:pPr>
            <w:r w:rsidRPr="00D51FE9">
              <w:rPr>
                <w:rFonts w:ascii="Calibri" w:eastAsia="Times New Roman" w:hAnsi="Calibri" w:cs="Calibri"/>
                <w:b/>
                <w:bCs/>
                <w:sz w:val="18"/>
                <w:szCs w:val="18"/>
                <w:lang w:eastAsia="it-IT"/>
              </w:rPr>
              <w:t>Rischio Basso:</w:t>
            </w:r>
            <w:r w:rsidRPr="00D51FE9">
              <w:rPr>
                <w:rFonts w:ascii="Calibri" w:eastAsia="Times New Roman" w:hAnsi="Calibri" w:cs="Calibri"/>
                <w:sz w:val="18"/>
                <w:szCs w:val="18"/>
                <w:lang w:eastAsia="it-IT"/>
              </w:rPr>
              <w:t xml:space="preserve"> Un numero molto esiguo, vicino allo zero, di clienti/utenti con i quali si entra in contatto sono ad alto rischio in relazione alla presenza di una o più caratteristiche tra quelle indicate nella declaratoria</w:t>
            </w:r>
          </w:p>
        </w:tc>
        <w:tc>
          <w:tcPr>
            <w:tcW w:w="264" w:type="pct"/>
            <w:tcBorders>
              <w:top w:val="nil"/>
              <w:left w:val="single" w:sz="4" w:space="0" w:color="auto"/>
              <w:bottom w:val="single" w:sz="4" w:space="0" w:color="auto"/>
              <w:right w:val="single" w:sz="4" w:space="0" w:color="auto"/>
            </w:tcBorders>
            <w:shd w:val="clear" w:color="000000" w:fill="D9D9D9"/>
            <w:noWrap/>
            <w:vAlign w:val="center"/>
            <w:hideMark/>
          </w:tcPr>
          <w:p w14:paraId="4D1BD9B9"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3,5</w:t>
            </w:r>
          </w:p>
        </w:tc>
      </w:tr>
      <w:tr w:rsidR="00D51FE9" w:rsidRPr="00D51FE9" w14:paraId="2D289890" w14:textId="77777777" w:rsidTr="00D51FE9">
        <w:trPr>
          <w:trHeight w:val="720"/>
        </w:trPr>
        <w:tc>
          <w:tcPr>
            <w:tcW w:w="512" w:type="pct"/>
            <w:vMerge w:val="restart"/>
            <w:tcBorders>
              <w:top w:val="nil"/>
              <w:left w:val="single" w:sz="8" w:space="0" w:color="666666"/>
              <w:bottom w:val="single" w:sz="8" w:space="0" w:color="666666"/>
              <w:right w:val="single" w:sz="8" w:space="0" w:color="666666"/>
            </w:tcBorders>
            <w:shd w:val="clear" w:color="auto" w:fill="auto"/>
            <w:vAlign w:val="center"/>
            <w:hideMark/>
          </w:tcPr>
          <w:p w14:paraId="00E11854" w14:textId="77777777" w:rsidR="00D51FE9" w:rsidRPr="00D51FE9" w:rsidRDefault="00D51FE9" w:rsidP="00D51FE9">
            <w:pPr>
              <w:spacing w:before="0" w:after="0" w:line="240" w:lineRule="auto"/>
              <w:jc w:val="both"/>
              <w:rPr>
                <w:rFonts w:ascii="Calibri" w:eastAsia="Times New Roman" w:hAnsi="Calibri" w:cs="Calibri"/>
                <w:b/>
                <w:bCs/>
                <w:sz w:val="18"/>
                <w:szCs w:val="18"/>
                <w:lang w:eastAsia="it-IT"/>
              </w:rPr>
            </w:pPr>
            <w:r w:rsidRPr="00D51FE9">
              <w:rPr>
                <w:rFonts w:ascii="Calibri" w:eastAsia="Times New Roman" w:hAnsi="Calibri" w:cs="Calibri"/>
                <w:b/>
                <w:bCs/>
                <w:sz w:val="18"/>
                <w:szCs w:val="18"/>
                <w:lang w:eastAsia="it-IT"/>
              </w:rPr>
              <w:t>Caratteristiche dei prodotti / Servizi</w:t>
            </w:r>
          </w:p>
        </w:tc>
        <w:tc>
          <w:tcPr>
            <w:tcW w:w="2004" w:type="pct"/>
            <w:vMerge w:val="restart"/>
            <w:tcBorders>
              <w:top w:val="nil"/>
              <w:left w:val="single" w:sz="8" w:space="0" w:color="666666"/>
              <w:bottom w:val="single" w:sz="8" w:space="0" w:color="666666"/>
              <w:right w:val="single" w:sz="8" w:space="0" w:color="666666"/>
            </w:tcBorders>
            <w:shd w:val="clear" w:color="000000" w:fill="FFFFFF"/>
            <w:vAlign w:val="center"/>
            <w:hideMark/>
          </w:tcPr>
          <w:p w14:paraId="566EF2B4" w14:textId="77777777" w:rsidR="00D51FE9" w:rsidRPr="00D51FE9" w:rsidRDefault="00D51FE9" w:rsidP="00D51FE9">
            <w:pPr>
              <w:spacing w:before="0" w:after="0" w:line="240" w:lineRule="auto"/>
              <w:jc w:val="both"/>
              <w:rPr>
                <w:rFonts w:ascii="Calibri" w:eastAsia="Times New Roman" w:hAnsi="Calibri" w:cs="Calibri"/>
                <w:sz w:val="18"/>
                <w:szCs w:val="18"/>
                <w:lang w:eastAsia="it-IT"/>
              </w:rPr>
            </w:pPr>
            <w:r w:rsidRPr="00D51FE9">
              <w:rPr>
                <w:rFonts w:ascii="Calibri" w:eastAsia="Times New Roman" w:hAnsi="Calibri" w:cs="Calibri"/>
                <w:sz w:val="18"/>
                <w:szCs w:val="18"/>
                <w:lang w:eastAsia="it-IT"/>
              </w:rPr>
              <w:t>La valutazione deve tener conto del grado di rischiosità intrinseca del prodotto/servizio e di come risulta strutturato il processo/procedimento ad esso collegato in termini di fasi, regolamenti e controlli, e comporti transazioni (più o meno elevate) esposte a tentativi di riciclaggio/FDT.</w:t>
            </w:r>
          </w:p>
        </w:tc>
        <w:tc>
          <w:tcPr>
            <w:tcW w:w="2219" w:type="pct"/>
            <w:tcBorders>
              <w:top w:val="nil"/>
              <w:left w:val="nil"/>
              <w:bottom w:val="nil"/>
              <w:right w:val="single" w:sz="8" w:space="0" w:color="666666"/>
            </w:tcBorders>
            <w:shd w:val="clear" w:color="000000" w:fill="FFFFFF"/>
            <w:vAlign w:val="center"/>
            <w:hideMark/>
          </w:tcPr>
          <w:p w14:paraId="7961D953" w14:textId="77777777" w:rsidR="00D51FE9" w:rsidRPr="00D51FE9" w:rsidRDefault="00D51FE9" w:rsidP="00D51FE9">
            <w:pPr>
              <w:spacing w:before="0" w:after="0" w:line="240" w:lineRule="auto"/>
              <w:jc w:val="both"/>
              <w:rPr>
                <w:rFonts w:ascii="Calibri" w:eastAsia="Times New Roman" w:hAnsi="Calibri" w:cs="Calibri"/>
                <w:b/>
                <w:bCs/>
                <w:sz w:val="18"/>
                <w:szCs w:val="18"/>
                <w:lang w:eastAsia="it-IT"/>
              </w:rPr>
            </w:pPr>
            <w:r w:rsidRPr="00D51FE9">
              <w:rPr>
                <w:rFonts w:ascii="Calibri" w:eastAsia="Times New Roman" w:hAnsi="Calibri" w:cs="Calibri"/>
                <w:b/>
                <w:bCs/>
                <w:sz w:val="18"/>
                <w:szCs w:val="18"/>
                <w:lang w:eastAsia="it-IT"/>
              </w:rPr>
              <w:t>Rischio Alto:</w:t>
            </w:r>
            <w:r w:rsidRPr="00D51FE9">
              <w:rPr>
                <w:rFonts w:ascii="Calibri" w:eastAsia="Times New Roman" w:hAnsi="Calibri" w:cs="Calibri"/>
                <w:sz w:val="18"/>
                <w:szCs w:val="18"/>
                <w:lang w:eastAsia="it-IT"/>
              </w:rPr>
              <w:t xml:space="preserve"> Il prodotto / servizio ha caratteristiche intrinseche di rischiosità elevata dal punto di vista del riciclaggio / FDT anche se il processo / procedimento ad esso collegato risulta strutturato / regolamentato in maniera sufficiente</w:t>
            </w:r>
          </w:p>
        </w:tc>
        <w:tc>
          <w:tcPr>
            <w:tcW w:w="264" w:type="pct"/>
            <w:tcBorders>
              <w:top w:val="nil"/>
              <w:left w:val="single" w:sz="4" w:space="0" w:color="auto"/>
              <w:bottom w:val="single" w:sz="4" w:space="0" w:color="auto"/>
              <w:right w:val="single" w:sz="4" w:space="0" w:color="auto"/>
            </w:tcBorders>
            <w:shd w:val="clear" w:color="000000" w:fill="FFFFFF"/>
            <w:noWrap/>
            <w:vAlign w:val="center"/>
            <w:hideMark/>
          </w:tcPr>
          <w:p w14:paraId="39DB4D13"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22,5</w:t>
            </w:r>
          </w:p>
        </w:tc>
      </w:tr>
      <w:tr w:rsidR="00D51FE9" w:rsidRPr="00D51FE9" w14:paraId="1D0393DB" w14:textId="77777777" w:rsidTr="00D51FE9">
        <w:trPr>
          <w:trHeight w:val="720"/>
        </w:trPr>
        <w:tc>
          <w:tcPr>
            <w:tcW w:w="512" w:type="pct"/>
            <w:vMerge/>
            <w:tcBorders>
              <w:top w:val="nil"/>
              <w:left w:val="single" w:sz="8" w:space="0" w:color="666666"/>
              <w:bottom w:val="single" w:sz="8" w:space="0" w:color="666666"/>
              <w:right w:val="single" w:sz="8" w:space="0" w:color="666666"/>
            </w:tcBorders>
            <w:vAlign w:val="center"/>
            <w:hideMark/>
          </w:tcPr>
          <w:p w14:paraId="09718ACE" w14:textId="77777777" w:rsidR="00D51FE9" w:rsidRPr="00D51FE9" w:rsidRDefault="00D51FE9" w:rsidP="00D51FE9">
            <w:pPr>
              <w:spacing w:before="0" w:after="0" w:line="240" w:lineRule="auto"/>
              <w:rPr>
                <w:rFonts w:ascii="Calibri" w:eastAsia="Times New Roman" w:hAnsi="Calibri" w:cs="Calibri"/>
                <w:b/>
                <w:bCs/>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63E6C70B" w14:textId="77777777" w:rsidR="00D51FE9" w:rsidRPr="00D51FE9" w:rsidRDefault="00D51FE9" w:rsidP="00D51FE9">
            <w:pPr>
              <w:spacing w:before="0" w:after="0" w:line="240" w:lineRule="auto"/>
              <w:rPr>
                <w:rFonts w:ascii="Calibri" w:eastAsia="Times New Roman" w:hAnsi="Calibri" w:cs="Calibri"/>
                <w:sz w:val="18"/>
                <w:szCs w:val="18"/>
                <w:lang w:eastAsia="it-IT"/>
              </w:rPr>
            </w:pPr>
          </w:p>
        </w:tc>
        <w:tc>
          <w:tcPr>
            <w:tcW w:w="2219" w:type="pct"/>
            <w:tcBorders>
              <w:top w:val="nil"/>
              <w:left w:val="nil"/>
              <w:bottom w:val="nil"/>
              <w:right w:val="single" w:sz="8" w:space="0" w:color="666666"/>
            </w:tcBorders>
            <w:shd w:val="clear" w:color="000000" w:fill="FFFFFF"/>
            <w:vAlign w:val="center"/>
            <w:hideMark/>
          </w:tcPr>
          <w:p w14:paraId="276ED268" w14:textId="77777777" w:rsidR="00D51FE9" w:rsidRPr="00D51FE9" w:rsidRDefault="00D51FE9" w:rsidP="00D51FE9">
            <w:pPr>
              <w:spacing w:before="0" w:after="0" w:line="240" w:lineRule="auto"/>
              <w:jc w:val="both"/>
              <w:rPr>
                <w:rFonts w:ascii="Calibri" w:eastAsia="Times New Roman" w:hAnsi="Calibri" w:cs="Calibri"/>
                <w:b/>
                <w:bCs/>
                <w:sz w:val="18"/>
                <w:szCs w:val="18"/>
                <w:lang w:eastAsia="it-IT"/>
              </w:rPr>
            </w:pPr>
            <w:r w:rsidRPr="00D51FE9">
              <w:rPr>
                <w:rFonts w:ascii="Calibri" w:eastAsia="Times New Roman" w:hAnsi="Calibri" w:cs="Calibri"/>
                <w:b/>
                <w:bCs/>
                <w:sz w:val="18"/>
                <w:szCs w:val="18"/>
                <w:lang w:eastAsia="it-IT"/>
              </w:rPr>
              <w:t>Rischio Medio-Alto:</w:t>
            </w:r>
            <w:r w:rsidRPr="00D51FE9">
              <w:rPr>
                <w:rFonts w:ascii="Calibri" w:eastAsia="Times New Roman" w:hAnsi="Calibri" w:cs="Calibri"/>
                <w:sz w:val="18"/>
                <w:szCs w:val="18"/>
                <w:lang w:eastAsia="it-IT"/>
              </w:rPr>
              <w:t xml:space="preserve"> Il prodotto / servizio ha caratteristiche intrinseche di rischiosità medio-alta dal punto di vista del riciclaggio / FDT anche se il processo / procedimento ad esso collegato risulta strutturato / regolamentato in maniera sufficiente</w:t>
            </w:r>
          </w:p>
        </w:tc>
        <w:tc>
          <w:tcPr>
            <w:tcW w:w="264" w:type="pct"/>
            <w:tcBorders>
              <w:top w:val="nil"/>
              <w:left w:val="single" w:sz="4" w:space="0" w:color="auto"/>
              <w:bottom w:val="single" w:sz="4" w:space="0" w:color="auto"/>
              <w:right w:val="single" w:sz="4" w:space="0" w:color="auto"/>
            </w:tcBorders>
            <w:shd w:val="clear" w:color="000000" w:fill="FFFFFF"/>
            <w:noWrap/>
            <w:vAlign w:val="center"/>
            <w:hideMark/>
          </w:tcPr>
          <w:p w14:paraId="618A985A"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17,5</w:t>
            </w:r>
          </w:p>
        </w:tc>
      </w:tr>
      <w:tr w:rsidR="00D51FE9" w:rsidRPr="00D51FE9" w14:paraId="14CE1459" w14:textId="77777777" w:rsidTr="00D51FE9">
        <w:trPr>
          <w:trHeight w:val="720"/>
        </w:trPr>
        <w:tc>
          <w:tcPr>
            <w:tcW w:w="512" w:type="pct"/>
            <w:vMerge/>
            <w:tcBorders>
              <w:top w:val="nil"/>
              <w:left w:val="single" w:sz="8" w:space="0" w:color="666666"/>
              <w:bottom w:val="single" w:sz="8" w:space="0" w:color="666666"/>
              <w:right w:val="single" w:sz="8" w:space="0" w:color="666666"/>
            </w:tcBorders>
            <w:vAlign w:val="center"/>
            <w:hideMark/>
          </w:tcPr>
          <w:p w14:paraId="2D4C0643" w14:textId="77777777" w:rsidR="00D51FE9" w:rsidRPr="00D51FE9" w:rsidRDefault="00D51FE9" w:rsidP="00D51FE9">
            <w:pPr>
              <w:spacing w:before="0" w:after="0" w:line="240" w:lineRule="auto"/>
              <w:rPr>
                <w:rFonts w:ascii="Calibri" w:eastAsia="Times New Roman" w:hAnsi="Calibri" w:cs="Calibri"/>
                <w:b/>
                <w:bCs/>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5898F9AD" w14:textId="77777777" w:rsidR="00D51FE9" w:rsidRPr="00D51FE9" w:rsidRDefault="00D51FE9" w:rsidP="00D51FE9">
            <w:pPr>
              <w:spacing w:before="0" w:after="0" w:line="240" w:lineRule="auto"/>
              <w:rPr>
                <w:rFonts w:ascii="Calibri" w:eastAsia="Times New Roman" w:hAnsi="Calibri" w:cs="Calibri"/>
                <w:sz w:val="18"/>
                <w:szCs w:val="18"/>
                <w:lang w:eastAsia="it-IT"/>
              </w:rPr>
            </w:pPr>
          </w:p>
        </w:tc>
        <w:tc>
          <w:tcPr>
            <w:tcW w:w="2219" w:type="pct"/>
            <w:tcBorders>
              <w:top w:val="nil"/>
              <w:left w:val="nil"/>
              <w:bottom w:val="nil"/>
              <w:right w:val="single" w:sz="8" w:space="0" w:color="666666"/>
            </w:tcBorders>
            <w:shd w:val="clear" w:color="000000" w:fill="FFFFFF"/>
            <w:vAlign w:val="center"/>
            <w:hideMark/>
          </w:tcPr>
          <w:p w14:paraId="7FAF4AAB" w14:textId="77777777" w:rsidR="00D51FE9" w:rsidRPr="00D51FE9" w:rsidRDefault="00D51FE9" w:rsidP="00D51FE9">
            <w:pPr>
              <w:spacing w:before="0" w:after="0" w:line="240" w:lineRule="auto"/>
              <w:jc w:val="both"/>
              <w:rPr>
                <w:rFonts w:ascii="Calibri" w:eastAsia="Times New Roman" w:hAnsi="Calibri" w:cs="Calibri"/>
                <w:b/>
                <w:bCs/>
                <w:sz w:val="18"/>
                <w:szCs w:val="18"/>
                <w:lang w:eastAsia="it-IT"/>
              </w:rPr>
            </w:pPr>
            <w:r w:rsidRPr="00D51FE9">
              <w:rPr>
                <w:rFonts w:ascii="Calibri" w:eastAsia="Times New Roman" w:hAnsi="Calibri" w:cs="Calibri"/>
                <w:b/>
                <w:bCs/>
                <w:sz w:val="18"/>
                <w:szCs w:val="18"/>
                <w:lang w:eastAsia="it-IT"/>
              </w:rPr>
              <w:t>Rischio Medio:</w:t>
            </w:r>
            <w:r w:rsidRPr="00D51FE9">
              <w:rPr>
                <w:rFonts w:ascii="Calibri" w:eastAsia="Times New Roman" w:hAnsi="Calibri" w:cs="Calibri"/>
                <w:sz w:val="18"/>
                <w:szCs w:val="18"/>
                <w:lang w:eastAsia="it-IT"/>
              </w:rPr>
              <w:t xml:space="preserve"> Il prodotto / servizio ha caratteristiche intrinseche di rischiosità media dal punto di vista del riciclaggio / FDT anche se il processo / procedimento ad esso collegato risulta strutturato / regolamentato in maniera adeguata</w:t>
            </w:r>
          </w:p>
        </w:tc>
        <w:tc>
          <w:tcPr>
            <w:tcW w:w="264" w:type="pct"/>
            <w:tcBorders>
              <w:top w:val="nil"/>
              <w:left w:val="single" w:sz="4" w:space="0" w:color="auto"/>
              <w:bottom w:val="single" w:sz="4" w:space="0" w:color="auto"/>
              <w:right w:val="single" w:sz="4" w:space="0" w:color="auto"/>
            </w:tcBorders>
            <w:shd w:val="clear" w:color="000000" w:fill="FFFFFF"/>
            <w:noWrap/>
            <w:vAlign w:val="center"/>
            <w:hideMark/>
          </w:tcPr>
          <w:p w14:paraId="02D086C0"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12,5</w:t>
            </w:r>
          </w:p>
        </w:tc>
      </w:tr>
      <w:tr w:rsidR="00D51FE9" w:rsidRPr="00D51FE9" w14:paraId="184B2F87" w14:textId="77777777" w:rsidTr="00D51FE9">
        <w:trPr>
          <w:trHeight w:val="720"/>
        </w:trPr>
        <w:tc>
          <w:tcPr>
            <w:tcW w:w="512" w:type="pct"/>
            <w:vMerge/>
            <w:tcBorders>
              <w:top w:val="nil"/>
              <w:left w:val="single" w:sz="8" w:space="0" w:color="666666"/>
              <w:bottom w:val="single" w:sz="8" w:space="0" w:color="666666"/>
              <w:right w:val="single" w:sz="8" w:space="0" w:color="666666"/>
            </w:tcBorders>
            <w:vAlign w:val="center"/>
            <w:hideMark/>
          </w:tcPr>
          <w:p w14:paraId="40EF4E56" w14:textId="77777777" w:rsidR="00D51FE9" w:rsidRPr="00D51FE9" w:rsidRDefault="00D51FE9" w:rsidP="00D51FE9">
            <w:pPr>
              <w:spacing w:before="0" w:after="0" w:line="240" w:lineRule="auto"/>
              <w:rPr>
                <w:rFonts w:ascii="Calibri" w:eastAsia="Times New Roman" w:hAnsi="Calibri" w:cs="Calibri"/>
                <w:b/>
                <w:bCs/>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379D05F8" w14:textId="77777777" w:rsidR="00D51FE9" w:rsidRPr="00D51FE9" w:rsidRDefault="00D51FE9" w:rsidP="00D51FE9">
            <w:pPr>
              <w:spacing w:before="0" w:after="0" w:line="240" w:lineRule="auto"/>
              <w:rPr>
                <w:rFonts w:ascii="Calibri" w:eastAsia="Times New Roman" w:hAnsi="Calibri" w:cs="Calibri"/>
                <w:sz w:val="18"/>
                <w:szCs w:val="18"/>
                <w:lang w:eastAsia="it-IT"/>
              </w:rPr>
            </w:pPr>
          </w:p>
        </w:tc>
        <w:tc>
          <w:tcPr>
            <w:tcW w:w="2219" w:type="pct"/>
            <w:tcBorders>
              <w:top w:val="nil"/>
              <w:left w:val="nil"/>
              <w:bottom w:val="nil"/>
              <w:right w:val="single" w:sz="8" w:space="0" w:color="666666"/>
            </w:tcBorders>
            <w:shd w:val="clear" w:color="000000" w:fill="FFFFFF"/>
            <w:vAlign w:val="center"/>
            <w:hideMark/>
          </w:tcPr>
          <w:p w14:paraId="1DFAD4EF" w14:textId="77777777" w:rsidR="00D51FE9" w:rsidRPr="00D51FE9" w:rsidRDefault="00D51FE9" w:rsidP="00D51FE9">
            <w:pPr>
              <w:spacing w:before="0" w:after="0" w:line="240" w:lineRule="auto"/>
              <w:jc w:val="both"/>
              <w:rPr>
                <w:rFonts w:ascii="Calibri" w:eastAsia="Times New Roman" w:hAnsi="Calibri" w:cs="Calibri"/>
                <w:b/>
                <w:bCs/>
                <w:sz w:val="18"/>
                <w:szCs w:val="18"/>
                <w:lang w:eastAsia="it-IT"/>
              </w:rPr>
            </w:pPr>
            <w:r w:rsidRPr="00D51FE9">
              <w:rPr>
                <w:rFonts w:ascii="Calibri" w:eastAsia="Times New Roman" w:hAnsi="Calibri" w:cs="Calibri"/>
                <w:b/>
                <w:bCs/>
                <w:sz w:val="18"/>
                <w:szCs w:val="18"/>
                <w:lang w:eastAsia="it-IT"/>
              </w:rPr>
              <w:t>Rischio Medio-Basso:</w:t>
            </w:r>
            <w:r w:rsidRPr="00D51FE9">
              <w:rPr>
                <w:rFonts w:ascii="Calibri" w:eastAsia="Times New Roman" w:hAnsi="Calibri" w:cs="Calibri"/>
                <w:sz w:val="18"/>
                <w:szCs w:val="18"/>
                <w:lang w:eastAsia="it-IT"/>
              </w:rPr>
              <w:t xml:space="preserve"> Il prodotto / servizio ha caratteristiche intrinseche di rischiosità medio-bassa dal punto di vista del riciclaggio / FDT e il processo / procedimento ad esso collegato risulta strutturato / regolamentato in maniera adeguata</w:t>
            </w:r>
          </w:p>
        </w:tc>
        <w:tc>
          <w:tcPr>
            <w:tcW w:w="264" w:type="pct"/>
            <w:tcBorders>
              <w:top w:val="nil"/>
              <w:left w:val="single" w:sz="4" w:space="0" w:color="auto"/>
              <w:bottom w:val="single" w:sz="4" w:space="0" w:color="auto"/>
              <w:right w:val="single" w:sz="4" w:space="0" w:color="auto"/>
            </w:tcBorders>
            <w:shd w:val="clear" w:color="000000" w:fill="FFFFFF"/>
            <w:noWrap/>
            <w:vAlign w:val="center"/>
            <w:hideMark/>
          </w:tcPr>
          <w:p w14:paraId="3AC7A67F"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7,5</w:t>
            </w:r>
          </w:p>
        </w:tc>
      </w:tr>
      <w:tr w:rsidR="00D51FE9" w:rsidRPr="00D51FE9" w14:paraId="75B97D03" w14:textId="77777777" w:rsidTr="00D51FE9">
        <w:trPr>
          <w:trHeight w:val="735"/>
        </w:trPr>
        <w:tc>
          <w:tcPr>
            <w:tcW w:w="512" w:type="pct"/>
            <w:vMerge/>
            <w:tcBorders>
              <w:top w:val="nil"/>
              <w:left w:val="single" w:sz="8" w:space="0" w:color="666666"/>
              <w:bottom w:val="single" w:sz="8" w:space="0" w:color="666666"/>
              <w:right w:val="single" w:sz="8" w:space="0" w:color="666666"/>
            </w:tcBorders>
            <w:vAlign w:val="center"/>
            <w:hideMark/>
          </w:tcPr>
          <w:p w14:paraId="176B1C45" w14:textId="77777777" w:rsidR="00D51FE9" w:rsidRPr="00D51FE9" w:rsidRDefault="00D51FE9" w:rsidP="00D51FE9">
            <w:pPr>
              <w:spacing w:before="0" w:after="0" w:line="240" w:lineRule="auto"/>
              <w:rPr>
                <w:rFonts w:ascii="Calibri" w:eastAsia="Times New Roman" w:hAnsi="Calibri" w:cs="Calibri"/>
                <w:b/>
                <w:bCs/>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03284ED3" w14:textId="77777777" w:rsidR="00D51FE9" w:rsidRPr="00D51FE9" w:rsidRDefault="00D51FE9" w:rsidP="00D51FE9">
            <w:pPr>
              <w:spacing w:before="0" w:after="0" w:line="240" w:lineRule="auto"/>
              <w:rPr>
                <w:rFonts w:ascii="Calibri" w:eastAsia="Times New Roman" w:hAnsi="Calibri" w:cs="Calibri"/>
                <w:sz w:val="18"/>
                <w:szCs w:val="18"/>
                <w:lang w:eastAsia="it-IT"/>
              </w:rPr>
            </w:pPr>
          </w:p>
        </w:tc>
        <w:tc>
          <w:tcPr>
            <w:tcW w:w="2219" w:type="pct"/>
            <w:tcBorders>
              <w:top w:val="nil"/>
              <w:left w:val="nil"/>
              <w:bottom w:val="single" w:sz="8" w:space="0" w:color="666666"/>
              <w:right w:val="single" w:sz="8" w:space="0" w:color="666666"/>
            </w:tcBorders>
            <w:shd w:val="clear" w:color="000000" w:fill="FFFFFF"/>
            <w:vAlign w:val="center"/>
            <w:hideMark/>
          </w:tcPr>
          <w:p w14:paraId="3C649A44" w14:textId="77777777" w:rsidR="00D51FE9" w:rsidRPr="00D51FE9" w:rsidRDefault="00D51FE9" w:rsidP="00D51FE9">
            <w:pPr>
              <w:spacing w:before="0" w:after="0" w:line="240" w:lineRule="auto"/>
              <w:jc w:val="both"/>
              <w:rPr>
                <w:rFonts w:ascii="Calibri" w:eastAsia="Times New Roman" w:hAnsi="Calibri" w:cs="Calibri"/>
                <w:b/>
                <w:bCs/>
                <w:sz w:val="18"/>
                <w:szCs w:val="18"/>
                <w:lang w:eastAsia="it-IT"/>
              </w:rPr>
            </w:pPr>
            <w:r w:rsidRPr="00D51FE9">
              <w:rPr>
                <w:rFonts w:ascii="Calibri" w:eastAsia="Times New Roman" w:hAnsi="Calibri" w:cs="Calibri"/>
                <w:b/>
                <w:bCs/>
                <w:sz w:val="18"/>
                <w:szCs w:val="18"/>
                <w:lang w:eastAsia="it-IT"/>
              </w:rPr>
              <w:t>Rischio Basso:</w:t>
            </w:r>
            <w:r w:rsidRPr="00D51FE9">
              <w:rPr>
                <w:rFonts w:ascii="Calibri" w:eastAsia="Times New Roman" w:hAnsi="Calibri" w:cs="Calibri"/>
                <w:sz w:val="18"/>
                <w:szCs w:val="18"/>
                <w:lang w:eastAsia="it-IT"/>
              </w:rPr>
              <w:t xml:space="preserve"> Il prodotto / servizio ha caratteristiche intrinseche di rischiosità bassa dal punto di vista del riciclaggio / FDT e il processo / procedimento ad esso collegato risulta strutturato / regolamentato in maniera ottimale</w:t>
            </w:r>
          </w:p>
        </w:tc>
        <w:tc>
          <w:tcPr>
            <w:tcW w:w="264" w:type="pct"/>
            <w:tcBorders>
              <w:top w:val="nil"/>
              <w:left w:val="single" w:sz="4" w:space="0" w:color="auto"/>
              <w:bottom w:val="single" w:sz="4" w:space="0" w:color="auto"/>
              <w:right w:val="single" w:sz="4" w:space="0" w:color="auto"/>
            </w:tcBorders>
            <w:shd w:val="clear" w:color="000000" w:fill="FFFFFF"/>
            <w:noWrap/>
            <w:vAlign w:val="center"/>
            <w:hideMark/>
          </w:tcPr>
          <w:p w14:paraId="7A7F0396"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3,5</w:t>
            </w:r>
          </w:p>
        </w:tc>
      </w:tr>
      <w:tr w:rsidR="00D51FE9" w:rsidRPr="00D51FE9" w14:paraId="55CF9430" w14:textId="77777777" w:rsidTr="00D51FE9">
        <w:trPr>
          <w:trHeight w:val="480"/>
        </w:trPr>
        <w:tc>
          <w:tcPr>
            <w:tcW w:w="512" w:type="pct"/>
            <w:vMerge w:val="restart"/>
            <w:tcBorders>
              <w:top w:val="nil"/>
              <w:left w:val="single" w:sz="8" w:space="0" w:color="666666"/>
              <w:bottom w:val="single" w:sz="8" w:space="0" w:color="666666"/>
              <w:right w:val="single" w:sz="8" w:space="0" w:color="666666"/>
            </w:tcBorders>
            <w:shd w:val="clear" w:color="000000" w:fill="D9D9D9"/>
            <w:vAlign w:val="center"/>
            <w:hideMark/>
          </w:tcPr>
          <w:p w14:paraId="67FDCF1A" w14:textId="77777777" w:rsidR="00D51FE9" w:rsidRPr="00D51FE9" w:rsidRDefault="00D51FE9" w:rsidP="00D51FE9">
            <w:pPr>
              <w:spacing w:before="0" w:after="0" w:line="240" w:lineRule="auto"/>
              <w:jc w:val="both"/>
              <w:rPr>
                <w:rFonts w:ascii="Calibri" w:eastAsia="Times New Roman" w:hAnsi="Calibri" w:cs="Calibri"/>
                <w:b/>
                <w:bCs/>
                <w:color w:val="000000"/>
                <w:sz w:val="18"/>
                <w:szCs w:val="18"/>
                <w:lang w:eastAsia="it-IT"/>
              </w:rPr>
            </w:pPr>
            <w:r w:rsidRPr="00D51FE9">
              <w:rPr>
                <w:rFonts w:ascii="Calibri" w:eastAsia="Times New Roman" w:hAnsi="Calibri" w:cs="Calibri"/>
                <w:b/>
                <w:bCs/>
                <w:color w:val="000000"/>
                <w:sz w:val="18"/>
                <w:szCs w:val="18"/>
                <w:lang w:eastAsia="it-IT"/>
              </w:rPr>
              <w:t>Canali attraverso cui sono erogati i prodotti/servizi</w:t>
            </w:r>
          </w:p>
        </w:tc>
        <w:tc>
          <w:tcPr>
            <w:tcW w:w="2004" w:type="pct"/>
            <w:vMerge w:val="restart"/>
            <w:tcBorders>
              <w:top w:val="nil"/>
              <w:left w:val="single" w:sz="8" w:space="0" w:color="666666"/>
              <w:bottom w:val="single" w:sz="8" w:space="0" w:color="666666"/>
              <w:right w:val="single" w:sz="8" w:space="0" w:color="666666"/>
            </w:tcBorders>
            <w:shd w:val="clear" w:color="000000" w:fill="D9D9D9"/>
            <w:vAlign w:val="center"/>
            <w:hideMark/>
          </w:tcPr>
          <w:p w14:paraId="0EFF11C2" w14:textId="77777777" w:rsidR="00D51FE9" w:rsidRPr="00D51FE9" w:rsidRDefault="00D51FE9" w:rsidP="00D51FE9">
            <w:pPr>
              <w:spacing w:before="0" w:after="0" w:line="240" w:lineRule="auto"/>
              <w:jc w:val="both"/>
              <w:rPr>
                <w:rFonts w:ascii="Calibri" w:eastAsia="Times New Roman" w:hAnsi="Calibri" w:cs="Calibri"/>
                <w:color w:val="000000"/>
                <w:sz w:val="18"/>
                <w:szCs w:val="18"/>
                <w:lang w:eastAsia="it-IT"/>
              </w:rPr>
            </w:pPr>
            <w:r w:rsidRPr="00D51FE9">
              <w:rPr>
                <w:rFonts w:ascii="Calibri" w:eastAsia="Times New Roman" w:hAnsi="Calibri" w:cs="Calibri"/>
                <w:color w:val="000000"/>
                <w:sz w:val="18"/>
                <w:szCs w:val="18"/>
                <w:lang w:eastAsia="it-IT"/>
              </w:rPr>
              <w:t xml:space="preserve">La valutazione deve tener conto del fatto che i procedimenti </w:t>
            </w:r>
            <w:proofErr w:type="gramStart"/>
            <w:r w:rsidRPr="00D51FE9">
              <w:rPr>
                <w:rFonts w:ascii="Calibri" w:eastAsia="Times New Roman" w:hAnsi="Calibri" w:cs="Calibri"/>
                <w:color w:val="000000"/>
                <w:sz w:val="18"/>
                <w:szCs w:val="18"/>
                <w:lang w:eastAsia="it-IT"/>
              </w:rPr>
              <w:t>possano</w:t>
            </w:r>
            <w:proofErr w:type="gramEnd"/>
            <w:r w:rsidRPr="00D51FE9">
              <w:rPr>
                <w:rFonts w:ascii="Calibri" w:eastAsia="Times New Roman" w:hAnsi="Calibri" w:cs="Calibri"/>
                <w:color w:val="000000"/>
                <w:sz w:val="18"/>
                <w:szCs w:val="18"/>
                <w:lang w:eastAsia="it-IT"/>
              </w:rPr>
              <w:t xml:space="preserve"> comportare il contributo di più organizzazioni esterne, corrispondenze, sistemi di relazioni allargate e canali di pagamento esterni agli uffici etc. La valutazione deve quindi riguardare il grado di controllo, tracciabilità e protezione di tali relazioni e canali all’interno e all’esterno dell’Amministrazione.</w:t>
            </w:r>
          </w:p>
        </w:tc>
        <w:tc>
          <w:tcPr>
            <w:tcW w:w="2219" w:type="pct"/>
            <w:tcBorders>
              <w:top w:val="nil"/>
              <w:left w:val="nil"/>
              <w:bottom w:val="nil"/>
              <w:right w:val="single" w:sz="8" w:space="0" w:color="666666"/>
            </w:tcBorders>
            <w:shd w:val="clear" w:color="000000" w:fill="CCCCCC"/>
            <w:vAlign w:val="center"/>
            <w:hideMark/>
          </w:tcPr>
          <w:p w14:paraId="6A58F5DF" w14:textId="77777777" w:rsidR="00D51FE9" w:rsidRPr="00D51FE9" w:rsidRDefault="00D51FE9" w:rsidP="00D51FE9">
            <w:pPr>
              <w:spacing w:before="0" w:after="0" w:line="240" w:lineRule="auto"/>
              <w:jc w:val="both"/>
              <w:rPr>
                <w:rFonts w:ascii="Calibri" w:eastAsia="Times New Roman" w:hAnsi="Calibri" w:cs="Calibri"/>
                <w:b/>
                <w:bCs/>
                <w:sz w:val="18"/>
                <w:szCs w:val="18"/>
                <w:lang w:eastAsia="it-IT"/>
              </w:rPr>
            </w:pPr>
            <w:r w:rsidRPr="00D51FE9">
              <w:rPr>
                <w:rFonts w:ascii="Calibri" w:eastAsia="Times New Roman" w:hAnsi="Calibri" w:cs="Calibri"/>
                <w:b/>
                <w:bCs/>
                <w:sz w:val="18"/>
                <w:szCs w:val="18"/>
                <w:lang w:eastAsia="it-IT"/>
              </w:rPr>
              <w:t>Rischio Alto:</w:t>
            </w:r>
            <w:r w:rsidRPr="00D51FE9">
              <w:rPr>
                <w:rFonts w:ascii="Calibri" w:eastAsia="Times New Roman" w:hAnsi="Calibri" w:cs="Calibri"/>
                <w:color w:val="000000"/>
                <w:sz w:val="18"/>
                <w:szCs w:val="18"/>
                <w:lang w:eastAsia="it-IT"/>
              </w:rPr>
              <w:t xml:space="preserve"> il processo / procedimento è fortemente condizionato dal contributo di organizzazioni esterne e le informazioni risultano difficilmente tracciabili / controllabili</w:t>
            </w:r>
          </w:p>
        </w:tc>
        <w:tc>
          <w:tcPr>
            <w:tcW w:w="264" w:type="pct"/>
            <w:tcBorders>
              <w:top w:val="nil"/>
              <w:left w:val="single" w:sz="4" w:space="0" w:color="auto"/>
              <w:bottom w:val="single" w:sz="4" w:space="0" w:color="auto"/>
              <w:right w:val="single" w:sz="4" w:space="0" w:color="auto"/>
            </w:tcBorders>
            <w:shd w:val="clear" w:color="000000" w:fill="D9D9D9"/>
            <w:noWrap/>
            <w:vAlign w:val="center"/>
            <w:hideMark/>
          </w:tcPr>
          <w:p w14:paraId="71DD6744"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22,5</w:t>
            </w:r>
          </w:p>
        </w:tc>
      </w:tr>
      <w:tr w:rsidR="00D51FE9" w:rsidRPr="00D51FE9" w14:paraId="039B9F4C" w14:textId="77777777" w:rsidTr="00D51FE9">
        <w:trPr>
          <w:trHeight w:val="720"/>
        </w:trPr>
        <w:tc>
          <w:tcPr>
            <w:tcW w:w="512" w:type="pct"/>
            <w:vMerge/>
            <w:tcBorders>
              <w:top w:val="nil"/>
              <w:left w:val="single" w:sz="8" w:space="0" w:color="666666"/>
              <w:bottom w:val="single" w:sz="8" w:space="0" w:color="666666"/>
              <w:right w:val="single" w:sz="8" w:space="0" w:color="666666"/>
            </w:tcBorders>
            <w:vAlign w:val="center"/>
            <w:hideMark/>
          </w:tcPr>
          <w:p w14:paraId="1774D247" w14:textId="77777777" w:rsidR="00D51FE9" w:rsidRPr="00D51FE9" w:rsidRDefault="00D51FE9" w:rsidP="00D51FE9">
            <w:pPr>
              <w:spacing w:before="0" w:after="0" w:line="240" w:lineRule="auto"/>
              <w:rPr>
                <w:rFonts w:ascii="Calibri" w:eastAsia="Times New Roman" w:hAnsi="Calibri" w:cs="Calibri"/>
                <w:b/>
                <w:bCs/>
                <w:color w:val="000000"/>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77B3A34A" w14:textId="77777777" w:rsidR="00D51FE9" w:rsidRPr="00D51FE9" w:rsidRDefault="00D51FE9" w:rsidP="00D51FE9">
            <w:pPr>
              <w:spacing w:before="0" w:after="0" w:line="240" w:lineRule="auto"/>
              <w:rPr>
                <w:rFonts w:ascii="Calibri" w:eastAsia="Times New Roman" w:hAnsi="Calibri" w:cs="Calibri"/>
                <w:color w:val="000000"/>
                <w:sz w:val="18"/>
                <w:szCs w:val="18"/>
                <w:lang w:eastAsia="it-IT"/>
              </w:rPr>
            </w:pPr>
          </w:p>
        </w:tc>
        <w:tc>
          <w:tcPr>
            <w:tcW w:w="2219" w:type="pct"/>
            <w:tcBorders>
              <w:top w:val="nil"/>
              <w:left w:val="nil"/>
              <w:bottom w:val="nil"/>
              <w:right w:val="single" w:sz="8" w:space="0" w:color="666666"/>
            </w:tcBorders>
            <w:shd w:val="clear" w:color="000000" w:fill="CCCCCC"/>
            <w:vAlign w:val="center"/>
            <w:hideMark/>
          </w:tcPr>
          <w:p w14:paraId="418C423F" w14:textId="77777777" w:rsidR="00D51FE9" w:rsidRPr="00D51FE9" w:rsidRDefault="00D51FE9" w:rsidP="00D51FE9">
            <w:pPr>
              <w:spacing w:before="0" w:after="0" w:line="240" w:lineRule="auto"/>
              <w:jc w:val="both"/>
              <w:rPr>
                <w:rFonts w:ascii="Calibri" w:eastAsia="Times New Roman" w:hAnsi="Calibri" w:cs="Calibri"/>
                <w:b/>
                <w:bCs/>
                <w:color w:val="000000"/>
                <w:sz w:val="18"/>
                <w:szCs w:val="18"/>
                <w:lang w:eastAsia="it-IT"/>
              </w:rPr>
            </w:pPr>
            <w:r w:rsidRPr="00D51FE9">
              <w:rPr>
                <w:rFonts w:ascii="Calibri" w:eastAsia="Times New Roman" w:hAnsi="Calibri" w:cs="Calibri"/>
                <w:b/>
                <w:bCs/>
                <w:color w:val="000000"/>
                <w:sz w:val="18"/>
                <w:szCs w:val="18"/>
                <w:lang w:eastAsia="it-IT"/>
              </w:rPr>
              <w:t>Rischio Medio-Alto:</w:t>
            </w:r>
            <w:r w:rsidRPr="00D51FE9">
              <w:rPr>
                <w:rFonts w:ascii="Calibri" w:eastAsia="Times New Roman" w:hAnsi="Calibri" w:cs="Calibri"/>
                <w:color w:val="000000"/>
                <w:sz w:val="18"/>
                <w:szCs w:val="18"/>
                <w:lang w:eastAsia="it-IT"/>
              </w:rPr>
              <w:t xml:space="preserve"> il processo / procedimento è condizionato in maniera significativa dal contributo di organizzazioni esterne e le informazioni risultano parzialmente tracciabili / controllabili</w:t>
            </w:r>
          </w:p>
        </w:tc>
        <w:tc>
          <w:tcPr>
            <w:tcW w:w="264" w:type="pct"/>
            <w:tcBorders>
              <w:top w:val="nil"/>
              <w:left w:val="single" w:sz="4" w:space="0" w:color="auto"/>
              <w:bottom w:val="single" w:sz="4" w:space="0" w:color="auto"/>
              <w:right w:val="single" w:sz="4" w:space="0" w:color="auto"/>
            </w:tcBorders>
            <w:shd w:val="clear" w:color="000000" w:fill="D9D9D9"/>
            <w:noWrap/>
            <w:vAlign w:val="center"/>
            <w:hideMark/>
          </w:tcPr>
          <w:p w14:paraId="3CD6482C"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17,5</w:t>
            </w:r>
          </w:p>
        </w:tc>
      </w:tr>
      <w:tr w:rsidR="00D51FE9" w:rsidRPr="00D51FE9" w14:paraId="3EF36584" w14:textId="77777777" w:rsidTr="00D51FE9">
        <w:trPr>
          <w:trHeight w:val="720"/>
        </w:trPr>
        <w:tc>
          <w:tcPr>
            <w:tcW w:w="512" w:type="pct"/>
            <w:vMerge/>
            <w:tcBorders>
              <w:top w:val="nil"/>
              <w:left w:val="single" w:sz="8" w:space="0" w:color="666666"/>
              <w:bottom w:val="single" w:sz="8" w:space="0" w:color="666666"/>
              <w:right w:val="single" w:sz="8" w:space="0" w:color="666666"/>
            </w:tcBorders>
            <w:vAlign w:val="center"/>
            <w:hideMark/>
          </w:tcPr>
          <w:p w14:paraId="043ADBE3" w14:textId="77777777" w:rsidR="00D51FE9" w:rsidRPr="00D51FE9" w:rsidRDefault="00D51FE9" w:rsidP="00D51FE9">
            <w:pPr>
              <w:spacing w:before="0" w:after="0" w:line="240" w:lineRule="auto"/>
              <w:rPr>
                <w:rFonts w:ascii="Calibri" w:eastAsia="Times New Roman" w:hAnsi="Calibri" w:cs="Calibri"/>
                <w:b/>
                <w:bCs/>
                <w:color w:val="000000"/>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61124C8F" w14:textId="77777777" w:rsidR="00D51FE9" w:rsidRPr="00D51FE9" w:rsidRDefault="00D51FE9" w:rsidP="00D51FE9">
            <w:pPr>
              <w:spacing w:before="0" w:after="0" w:line="240" w:lineRule="auto"/>
              <w:rPr>
                <w:rFonts w:ascii="Calibri" w:eastAsia="Times New Roman" w:hAnsi="Calibri" w:cs="Calibri"/>
                <w:color w:val="000000"/>
                <w:sz w:val="18"/>
                <w:szCs w:val="18"/>
                <w:lang w:eastAsia="it-IT"/>
              </w:rPr>
            </w:pPr>
          </w:p>
        </w:tc>
        <w:tc>
          <w:tcPr>
            <w:tcW w:w="2219" w:type="pct"/>
            <w:tcBorders>
              <w:top w:val="nil"/>
              <w:left w:val="nil"/>
              <w:bottom w:val="nil"/>
              <w:right w:val="single" w:sz="8" w:space="0" w:color="666666"/>
            </w:tcBorders>
            <w:shd w:val="clear" w:color="000000" w:fill="CCCCCC"/>
            <w:vAlign w:val="center"/>
            <w:hideMark/>
          </w:tcPr>
          <w:p w14:paraId="160FF387" w14:textId="77777777" w:rsidR="00D51FE9" w:rsidRPr="00D51FE9" w:rsidRDefault="00D51FE9" w:rsidP="00D51FE9">
            <w:pPr>
              <w:spacing w:before="0" w:after="0" w:line="240" w:lineRule="auto"/>
              <w:jc w:val="both"/>
              <w:rPr>
                <w:rFonts w:ascii="Calibri" w:eastAsia="Times New Roman" w:hAnsi="Calibri" w:cs="Calibri"/>
                <w:b/>
                <w:bCs/>
                <w:color w:val="000000"/>
                <w:sz w:val="18"/>
                <w:szCs w:val="18"/>
                <w:lang w:eastAsia="it-IT"/>
              </w:rPr>
            </w:pPr>
            <w:r w:rsidRPr="00D51FE9">
              <w:rPr>
                <w:rFonts w:ascii="Calibri" w:eastAsia="Times New Roman" w:hAnsi="Calibri" w:cs="Calibri"/>
                <w:b/>
                <w:bCs/>
                <w:color w:val="000000"/>
                <w:sz w:val="18"/>
                <w:szCs w:val="18"/>
                <w:lang w:eastAsia="it-IT"/>
              </w:rPr>
              <w:t>Rischio Medio:</w:t>
            </w:r>
            <w:r w:rsidRPr="00D51FE9">
              <w:rPr>
                <w:rFonts w:ascii="Calibri" w:eastAsia="Times New Roman" w:hAnsi="Calibri" w:cs="Calibri"/>
                <w:color w:val="000000"/>
                <w:sz w:val="18"/>
                <w:szCs w:val="18"/>
                <w:lang w:eastAsia="it-IT"/>
              </w:rPr>
              <w:t xml:space="preserve"> il processo / procedimento è condizionato in maniera mediamente significativa dal contributo di organizzazioni esterne e le informazioni risultano mediamente tracciabili / controllabili</w:t>
            </w:r>
          </w:p>
        </w:tc>
        <w:tc>
          <w:tcPr>
            <w:tcW w:w="264" w:type="pct"/>
            <w:tcBorders>
              <w:top w:val="nil"/>
              <w:left w:val="single" w:sz="4" w:space="0" w:color="auto"/>
              <w:bottom w:val="single" w:sz="4" w:space="0" w:color="auto"/>
              <w:right w:val="single" w:sz="4" w:space="0" w:color="auto"/>
            </w:tcBorders>
            <w:shd w:val="clear" w:color="000000" w:fill="D9D9D9"/>
            <w:noWrap/>
            <w:vAlign w:val="center"/>
            <w:hideMark/>
          </w:tcPr>
          <w:p w14:paraId="7CFE32E5"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12,5</w:t>
            </w:r>
          </w:p>
        </w:tc>
      </w:tr>
      <w:tr w:rsidR="00D51FE9" w:rsidRPr="00D51FE9" w14:paraId="6905E432" w14:textId="77777777" w:rsidTr="00D51FE9">
        <w:trPr>
          <w:trHeight w:val="720"/>
        </w:trPr>
        <w:tc>
          <w:tcPr>
            <w:tcW w:w="512" w:type="pct"/>
            <w:vMerge/>
            <w:tcBorders>
              <w:top w:val="nil"/>
              <w:left w:val="single" w:sz="8" w:space="0" w:color="666666"/>
              <w:bottom w:val="single" w:sz="8" w:space="0" w:color="666666"/>
              <w:right w:val="single" w:sz="8" w:space="0" w:color="666666"/>
            </w:tcBorders>
            <w:vAlign w:val="center"/>
            <w:hideMark/>
          </w:tcPr>
          <w:p w14:paraId="1A8A4934" w14:textId="77777777" w:rsidR="00D51FE9" w:rsidRPr="00D51FE9" w:rsidRDefault="00D51FE9" w:rsidP="00D51FE9">
            <w:pPr>
              <w:spacing w:before="0" w:after="0" w:line="240" w:lineRule="auto"/>
              <w:rPr>
                <w:rFonts w:ascii="Calibri" w:eastAsia="Times New Roman" w:hAnsi="Calibri" w:cs="Calibri"/>
                <w:b/>
                <w:bCs/>
                <w:color w:val="000000"/>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462717F9" w14:textId="77777777" w:rsidR="00D51FE9" w:rsidRPr="00D51FE9" w:rsidRDefault="00D51FE9" w:rsidP="00D51FE9">
            <w:pPr>
              <w:spacing w:before="0" w:after="0" w:line="240" w:lineRule="auto"/>
              <w:rPr>
                <w:rFonts w:ascii="Calibri" w:eastAsia="Times New Roman" w:hAnsi="Calibri" w:cs="Calibri"/>
                <w:color w:val="000000"/>
                <w:sz w:val="18"/>
                <w:szCs w:val="18"/>
                <w:lang w:eastAsia="it-IT"/>
              </w:rPr>
            </w:pPr>
          </w:p>
        </w:tc>
        <w:tc>
          <w:tcPr>
            <w:tcW w:w="2219" w:type="pct"/>
            <w:tcBorders>
              <w:top w:val="nil"/>
              <w:left w:val="nil"/>
              <w:bottom w:val="nil"/>
              <w:right w:val="single" w:sz="8" w:space="0" w:color="666666"/>
            </w:tcBorders>
            <w:shd w:val="clear" w:color="000000" w:fill="CCCCCC"/>
            <w:vAlign w:val="center"/>
            <w:hideMark/>
          </w:tcPr>
          <w:p w14:paraId="64CF7B41" w14:textId="77777777" w:rsidR="00D51FE9" w:rsidRPr="00D51FE9" w:rsidRDefault="00D51FE9" w:rsidP="00D51FE9">
            <w:pPr>
              <w:spacing w:before="0" w:after="0" w:line="240" w:lineRule="auto"/>
              <w:jc w:val="both"/>
              <w:rPr>
                <w:rFonts w:ascii="Calibri" w:eastAsia="Times New Roman" w:hAnsi="Calibri" w:cs="Calibri"/>
                <w:b/>
                <w:bCs/>
                <w:color w:val="000000"/>
                <w:sz w:val="18"/>
                <w:szCs w:val="18"/>
                <w:lang w:eastAsia="it-IT"/>
              </w:rPr>
            </w:pPr>
            <w:r w:rsidRPr="00D51FE9">
              <w:rPr>
                <w:rFonts w:ascii="Calibri" w:eastAsia="Times New Roman" w:hAnsi="Calibri" w:cs="Calibri"/>
                <w:b/>
                <w:bCs/>
                <w:color w:val="000000"/>
                <w:sz w:val="18"/>
                <w:szCs w:val="18"/>
                <w:lang w:eastAsia="it-IT"/>
              </w:rPr>
              <w:t>Rischio Medio-Basso:</w:t>
            </w:r>
            <w:r w:rsidRPr="00D51FE9">
              <w:rPr>
                <w:rFonts w:ascii="Calibri" w:eastAsia="Times New Roman" w:hAnsi="Calibri" w:cs="Calibri"/>
                <w:color w:val="000000"/>
                <w:sz w:val="18"/>
                <w:szCs w:val="18"/>
                <w:lang w:eastAsia="it-IT"/>
              </w:rPr>
              <w:t xml:space="preserve"> il processo / procedimento è condizionato in maniera poco significativa dal contributo di organizzazioni esterne e le informazioni risultano sufficientemente tracciabili / controllabili</w:t>
            </w:r>
          </w:p>
        </w:tc>
        <w:tc>
          <w:tcPr>
            <w:tcW w:w="264" w:type="pct"/>
            <w:tcBorders>
              <w:top w:val="nil"/>
              <w:left w:val="single" w:sz="4" w:space="0" w:color="auto"/>
              <w:bottom w:val="single" w:sz="4" w:space="0" w:color="auto"/>
              <w:right w:val="single" w:sz="4" w:space="0" w:color="auto"/>
            </w:tcBorders>
            <w:shd w:val="clear" w:color="000000" w:fill="D9D9D9"/>
            <w:noWrap/>
            <w:vAlign w:val="center"/>
            <w:hideMark/>
          </w:tcPr>
          <w:p w14:paraId="06B8579D"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7,5</w:t>
            </w:r>
          </w:p>
        </w:tc>
      </w:tr>
      <w:tr w:rsidR="00D51FE9" w:rsidRPr="00D51FE9" w14:paraId="30E40CF2" w14:textId="77777777" w:rsidTr="00D51FE9">
        <w:trPr>
          <w:trHeight w:val="495"/>
        </w:trPr>
        <w:tc>
          <w:tcPr>
            <w:tcW w:w="512" w:type="pct"/>
            <w:vMerge/>
            <w:tcBorders>
              <w:top w:val="nil"/>
              <w:left w:val="single" w:sz="8" w:space="0" w:color="666666"/>
              <w:bottom w:val="single" w:sz="8" w:space="0" w:color="666666"/>
              <w:right w:val="single" w:sz="8" w:space="0" w:color="666666"/>
            </w:tcBorders>
            <w:vAlign w:val="center"/>
            <w:hideMark/>
          </w:tcPr>
          <w:p w14:paraId="22103AEA" w14:textId="77777777" w:rsidR="00D51FE9" w:rsidRPr="00D51FE9" w:rsidRDefault="00D51FE9" w:rsidP="00D51FE9">
            <w:pPr>
              <w:spacing w:before="0" w:after="0" w:line="240" w:lineRule="auto"/>
              <w:rPr>
                <w:rFonts w:ascii="Calibri" w:eastAsia="Times New Roman" w:hAnsi="Calibri" w:cs="Calibri"/>
                <w:b/>
                <w:bCs/>
                <w:color w:val="000000"/>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63B0FA4C" w14:textId="77777777" w:rsidR="00D51FE9" w:rsidRPr="00D51FE9" w:rsidRDefault="00D51FE9" w:rsidP="00D51FE9">
            <w:pPr>
              <w:spacing w:before="0" w:after="0" w:line="240" w:lineRule="auto"/>
              <w:rPr>
                <w:rFonts w:ascii="Calibri" w:eastAsia="Times New Roman" w:hAnsi="Calibri" w:cs="Calibri"/>
                <w:color w:val="000000"/>
                <w:sz w:val="18"/>
                <w:szCs w:val="18"/>
                <w:lang w:eastAsia="it-IT"/>
              </w:rPr>
            </w:pPr>
          </w:p>
        </w:tc>
        <w:tc>
          <w:tcPr>
            <w:tcW w:w="2219" w:type="pct"/>
            <w:tcBorders>
              <w:top w:val="nil"/>
              <w:left w:val="nil"/>
              <w:bottom w:val="single" w:sz="8" w:space="0" w:color="666666"/>
              <w:right w:val="single" w:sz="8" w:space="0" w:color="666666"/>
            </w:tcBorders>
            <w:shd w:val="clear" w:color="000000" w:fill="CCCCCC"/>
            <w:vAlign w:val="center"/>
            <w:hideMark/>
          </w:tcPr>
          <w:p w14:paraId="177F26E7" w14:textId="77777777" w:rsidR="00D51FE9" w:rsidRPr="00D51FE9" w:rsidRDefault="00D51FE9" w:rsidP="00D51FE9">
            <w:pPr>
              <w:spacing w:before="0" w:after="0" w:line="240" w:lineRule="auto"/>
              <w:jc w:val="both"/>
              <w:rPr>
                <w:rFonts w:ascii="Calibri" w:eastAsia="Times New Roman" w:hAnsi="Calibri" w:cs="Calibri"/>
                <w:b/>
                <w:bCs/>
                <w:color w:val="000000"/>
                <w:sz w:val="18"/>
                <w:szCs w:val="18"/>
                <w:lang w:eastAsia="it-IT"/>
              </w:rPr>
            </w:pPr>
            <w:r w:rsidRPr="00D51FE9">
              <w:rPr>
                <w:rFonts w:ascii="Calibri" w:eastAsia="Times New Roman" w:hAnsi="Calibri" w:cs="Calibri"/>
                <w:b/>
                <w:bCs/>
                <w:color w:val="000000"/>
                <w:sz w:val="18"/>
                <w:szCs w:val="18"/>
                <w:lang w:eastAsia="it-IT"/>
              </w:rPr>
              <w:t>Rischio Basso:</w:t>
            </w:r>
            <w:r w:rsidRPr="00D51FE9">
              <w:rPr>
                <w:rFonts w:ascii="Calibri" w:eastAsia="Times New Roman" w:hAnsi="Calibri" w:cs="Calibri"/>
                <w:color w:val="000000"/>
                <w:sz w:val="18"/>
                <w:szCs w:val="18"/>
                <w:lang w:eastAsia="it-IT"/>
              </w:rPr>
              <w:t xml:space="preserve"> il processo / procedimento è condizionato in maniera irrilevante dal contributo di organizzazioni esterne e le informazioni risultano tracciabili / controllabili</w:t>
            </w:r>
          </w:p>
        </w:tc>
        <w:tc>
          <w:tcPr>
            <w:tcW w:w="264" w:type="pct"/>
            <w:tcBorders>
              <w:top w:val="nil"/>
              <w:left w:val="single" w:sz="4" w:space="0" w:color="auto"/>
              <w:bottom w:val="single" w:sz="4" w:space="0" w:color="auto"/>
              <w:right w:val="single" w:sz="4" w:space="0" w:color="auto"/>
            </w:tcBorders>
            <w:shd w:val="clear" w:color="000000" w:fill="D9D9D9"/>
            <w:noWrap/>
            <w:vAlign w:val="center"/>
            <w:hideMark/>
          </w:tcPr>
          <w:p w14:paraId="040437F9"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3,5</w:t>
            </w:r>
          </w:p>
        </w:tc>
      </w:tr>
      <w:tr w:rsidR="00D51FE9" w:rsidRPr="00D51FE9" w14:paraId="67CE3BA4" w14:textId="77777777" w:rsidTr="00D51FE9">
        <w:trPr>
          <w:trHeight w:val="480"/>
        </w:trPr>
        <w:tc>
          <w:tcPr>
            <w:tcW w:w="512" w:type="pct"/>
            <w:vMerge w:val="restart"/>
            <w:tcBorders>
              <w:top w:val="nil"/>
              <w:left w:val="single" w:sz="8" w:space="0" w:color="666666"/>
              <w:bottom w:val="single" w:sz="8" w:space="0" w:color="666666"/>
              <w:right w:val="single" w:sz="8" w:space="0" w:color="666666"/>
            </w:tcBorders>
            <w:shd w:val="clear" w:color="auto" w:fill="auto"/>
            <w:vAlign w:val="center"/>
            <w:hideMark/>
          </w:tcPr>
          <w:p w14:paraId="37D17050" w14:textId="77777777" w:rsidR="00D51FE9" w:rsidRPr="00D51FE9" w:rsidRDefault="00D51FE9" w:rsidP="00D51FE9">
            <w:pPr>
              <w:spacing w:before="0" w:after="0" w:line="240" w:lineRule="auto"/>
              <w:jc w:val="both"/>
              <w:rPr>
                <w:rFonts w:ascii="Calibri" w:eastAsia="Times New Roman" w:hAnsi="Calibri" w:cs="Calibri"/>
                <w:b/>
                <w:bCs/>
                <w:sz w:val="18"/>
                <w:szCs w:val="18"/>
                <w:lang w:eastAsia="it-IT"/>
              </w:rPr>
            </w:pPr>
            <w:r w:rsidRPr="00D51FE9">
              <w:rPr>
                <w:rFonts w:ascii="Calibri" w:eastAsia="Times New Roman" w:hAnsi="Calibri" w:cs="Calibri"/>
                <w:b/>
                <w:bCs/>
                <w:sz w:val="18"/>
                <w:szCs w:val="18"/>
                <w:lang w:eastAsia="it-IT"/>
              </w:rPr>
              <w:t>Area geografica di operatività</w:t>
            </w:r>
          </w:p>
        </w:tc>
        <w:tc>
          <w:tcPr>
            <w:tcW w:w="2004" w:type="pct"/>
            <w:vMerge w:val="restart"/>
            <w:tcBorders>
              <w:top w:val="nil"/>
              <w:left w:val="single" w:sz="8" w:space="0" w:color="666666"/>
              <w:bottom w:val="single" w:sz="8" w:space="0" w:color="666666"/>
              <w:right w:val="single" w:sz="8" w:space="0" w:color="666666"/>
            </w:tcBorders>
            <w:shd w:val="clear" w:color="000000" w:fill="FFFFFF"/>
            <w:vAlign w:val="center"/>
            <w:hideMark/>
          </w:tcPr>
          <w:p w14:paraId="78CE8314" w14:textId="77777777" w:rsidR="00D51FE9" w:rsidRPr="00D51FE9" w:rsidRDefault="00D51FE9" w:rsidP="00D51FE9">
            <w:pPr>
              <w:spacing w:before="0" w:after="0" w:line="240" w:lineRule="auto"/>
              <w:jc w:val="both"/>
              <w:rPr>
                <w:rFonts w:ascii="Calibri" w:eastAsia="Times New Roman" w:hAnsi="Calibri" w:cs="Calibri"/>
                <w:sz w:val="18"/>
                <w:szCs w:val="18"/>
                <w:lang w:eastAsia="it-IT"/>
              </w:rPr>
            </w:pPr>
            <w:r w:rsidRPr="00D51FE9">
              <w:rPr>
                <w:rFonts w:ascii="Calibri" w:eastAsia="Times New Roman" w:hAnsi="Calibri" w:cs="Calibri"/>
                <w:sz w:val="18"/>
                <w:szCs w:val="18"/>
                <w:lang w:eastAsia="it-IT"/>
              </w:rPr>
              <w:t xml:space="preserve">L’area geografica di operatività è da riferirsi al territorio in cui si esplica l'operazione di riferimento a favore del cliente/utente (che può coincidere o meno con la sede di quest’ultimo). </w:t>
            </w:r>
          </w:p>
        </w:tc>
        <w:tc>
          <w:tcPr>
            <w:tcW w:w="2219" w:type="pct"/>
            <w:tcBorders>
              <w:top w:val="nil"/>
              <w:left w:val="nil"/>
              <w:bottom w:val="nil"/>
              <w:right w:val="single" w:sz="8" w:space="0" w:color="666666"/>
            </w:tcBorders>
            <w:shd w:val="clear" w:color="000000" w:fill="FFFFFF"/>
            <w:vAlign w:val="center"/>
            <w:hideMark/>
          </w:tcPr>
          <w:p w14:paraId="25878430" w14:textId="77777777" w:rsidR="00D51FE9" w:rsidRPr="00D51FE9" w:rsidRDefault="00D51FE9" w:rsidP="00D51FE9">
            <w:pPr>
              <w:spacing w:before="0" w:after="0" w:line="240" w:lineRule="auto"/>
              <w:jc w:val="both"/>
              <w:rPr>
                <w:rFonts w:ascii="Calibri" w:eastAsia="Times New Roman" w:hAnsi="Calibri" w:cs="Calibri"/>
                <w:b/>
                <w:bCs/>
                <w:sz w:val="18"/>
                <w:szCs w:val="18"/>
                <w:lang w:eastAsia="it-IT"/>
              </w:rPr>
            </w:pPr>
            <w:r w:rsidRPr="00D51FE9">
              <w:rPr>
                <w:rFonts w:ascii="Calibri" w:eastAsia="Times New Roman" w:hAnsi="Calibri" w:cs="Calibri"/>
                <w:b/>
                <w:bCs/>
                <w:sz w:val="18"/>
                <w:szCs w:val="18"/>
                <w:lang w:eastAsia="it-IT"/>
              </w:rPr>
              <w:t>Rischio Alto</w:t>
            </w:r>
            <w:r w:rsidRPr="00D51FE9">
              <w:rPr>
                <w:rFonts w:ascii="Calibri" w:eastAsia="Times New Roman" w:hAnsi="Calibri" w:cs="Calibri"/>
                <w:b/>
                <w:bCs/>
                <w:color w:val="000000"/>
                <w:sz w:val="18"/>
                <w:szCs w:val="18"/>
                <w:lang w:eastAsia="it-IT"/>
              </w:rPr>
              <w:t>:</w:t>
            </w:r>
            <w:r w:rsidRPr="00D51FE9">
              <w:rPr>
                <w:rFonts w:ascii="Calibri" w:eastAsia="Times New Roman" w:hAnsi="Calibri" w:cs="Calibri"/>
                <w:color w:val="000000"/>
                <w:sz w:val="18"/>
                <w:szCs w:val="18"/>
                <w:lang w:eastAsia="it-IT"/>
              </w:rPr>
              <w:t xml:space="preserve"> frequente operatività riferibile ad aree geografiche a rischio elevato che si verifica entro un valore alto per il processo / procedimento in questione</w:t>
            </w:r>
          </w:p>
        </w:tc>
        <w:tc>
          <w:tcPr>
            <w:tcW w:w="264" w:type="pct"/>
            <w:tcBorders>
              <w:top w:val="nil"/>
              <w:left w:val="single" w:sz="4" w:space="0" w:color="auto"/>
              <w:bottom w:val="single" w:sz="4" w:space="0" w:color="auto"/>
              <w:right w:val="single" w:sz="4" w:space="0" w:color="auto"/>
            </w:tcBorders>
            <w:shd w:val="clear" w:color="000000" w:fill="FFFFFF"/>
            <w:noWrap/>
            <w:vAlign w:val="center"/>
            <w:hideMark/>
          </w:tcPr>
          <w:p w14:paraId="5AE6EAE5"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22,5</w:t>
            </w:r>
          </w:p>
        </w:tc>
      </w:tr>
      <w:tr w:rsidR="00D51FE9" w:rsidRPr="00D51FE9" w14:paraId="29A27C52" w14:textId="77777777" w:rsidTr="00D51FE9">
        <w:trPr>
          <w:trHeight w:val="480"/>
        </w:trPr>
        <w:tc>
          <w:tcPr>
            <w:tcW w:w="512" w:type="pct"/>
            <w:vMerge/>
            <w:tcBorders>
              <w:top w:val="nil"/>
              <w:left w:val="single" w:sz="8" w:space="0" w:color="666666"/>
              <w:bottom w:val="single" w:sz="8" w:space="0" w:color="666666"/>
              <w:right w:val="single" w:sz="8" w:space="0" w:color="666666"/>
            </w:tcBorders>
            <w:vAlign w:val="center"/>
            <w:hideMark/>
          </w:tcPr>
          <w:p w14:paraId="6DD2E45B" w14:textId="77777777" w:rsidR="00D51FE9" w:rsidRPr="00D51FE9" w:rsidRDefault="00D51FE9" w:rsidP="00D51FE9">
            <w:pPr>
              <w:spacing w:before="0" w:after="0" w:line="240" w:lineRule="auto"/>
              <w:rPr>
                <w:rFonts w:ascii="Calibri" w:eastAsia="Times New Roman" w:hAnsi="Calibri" w:cs="Calibri"/>
                <w:b/>
                <w:bCs/>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4E8F78D5" w14:textId="77777777" w:rsidR="00D51FE9" w:rsidRPr="00D51FE9" w:rsidRDefault="00D51FE9" w:rsidP="00D51FE9">
            <w:pPr>
              <w:spacing w:before="0" w:after="0" w:line="240" w:lineRule="auto"/>
              <w:rPr>
                <w:rFonts w:ascii="Calibri" w:eastAsia="Times New Roman" w:hAnsi="Calibri" w:cs="Calibri"/>
                <w:sz w:val="18"/>
                <w:szCs w:val="18"/>
                <w:lang w:eastAsia="it-IT"/>
              </w:rPr>
            </w:pPr>
          </w:p>
        </w:tc>
        <w:tc>
          <w:tcPr>
            <w:tcW w:w="2219" w:type="pct"/>
            <w:tcBorders>
              <w:top w:val="nil"/>
              <w:left w:val="nil"/>
              <w:bottom w:val="nil"/>
              <w:right w:val="single" w:sz="8" w:space="0" w:color="666666"/>
            </w:tcBorders>
            <w:shd w:val="clear" w:color="000000" w:fill="FFFFFF"/>
            <w:vAlign w:val="center"/>
            <w:hideMark/>
          </w:tcPr>
          <w:p w14:paraId="711B744B" w14:textId="77777777" w:rsidR="00D51FE9" w:rsidRPr="00D51FE9" w:rsidRDefault="00D51FE9" w:rsidP="00D51FE9">
            <w:pPr>
              <w:spacing w:before="0" w:after="0" w:line="240" w:lineRule="auto"/>
              <w:jc w:val="both"/>
              <w:rPr>
                <w:rFonts w:ascii="Calibri" w:eastAsia="Times New Roman" w:hAnsi="Calibri" w:cs="Calibri"/>
                <w:b/>
                <w:bCs/>
                <w:color w:val="000000"/>
                <w:sz w:val="18"/>
                <w:szCs w:val="18"/>
                <w:lang w:eastAsia="it-IT"/>
              </w:rPr>
            </w:pPr>
            <w:r w:rsidRPr="00D51FE9">
              <w:rPr>
                <w:rFonts w:ascii="Calibri" w:eastAsia="Times New Roman" w:hAnsi="Calibri" w:cs="Calibri"/>
                <w:b/>
                <w:bCs/>
                <w:color w:val="000000"/>
                <w:sz w:val="18"/>
                <w:szCs w:val="18"/>
                <w:lang w:eastAsia="it-IT"/>
              </w:rPr>
              <w:t xml:space="preserve">Rischio Medio-Alto: </w:t>
            </w:r>
            <w:r w:rsidRPr="00D51FE9">
              <w:rPr>
                <w:rFonts w:ascii="Calibri" w:eastAsia="Times New Roman" w:hAnsi="Calibri" w:cs="Calibri"/>
                <w:color w:val="000000"/>
                <w:sz w:val="18"/>
                <w:szCs w:val="18"/>
                <w:lang w:eastAsia="it-IT"/>
              </w:rPr>
              <w:t>operatività riferibile ad aree geografiche a rischio elevato/medio che si verifica entro un valore medio-alto per il processo / procedimento in questione</w:t>
            </w:r>
          </w:p>
        </w:tc>
        <w:tc>
          <w:tcPr>
            <w:tcW w:w="264" w:type="pct"/>
            <w:tcBorders>
              <w:top w:val="nil"/>
              <w:left w:val="single" w:sz="4" w:space="0" w:color="auto"/>
              <w:bottom w:val="single" w:sz="4" w:space="0" w:color="auto"/>
              <w:right w:val="single" w:sz="4" w:space="0" w:color="auto"/>
            </w:tcBorders>
            <w:shd w:val="clear" w:color="000000" w:fill="FFFFFF"/>
            <w:noWrap/>
            <w:vAlign w:val="center"/>
            <w:hideMark/>
          </w:tcPr>
          <w:p w14:paraId="4549572F"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17,5</w:t>
            </w:r>
          </w:p>
        </w:tc>
      </w:tr>
      <w:tr w:rsidR="00D51FE9" w:rsidRPr="00D51FE9" w14:paraId="069BAD22" w14:textId="77777777" w:rsidTr="00D51FE9">
        <w:trPr>
          <w:trHeight w:val="480"/>
        </w:trPr>
        <w:tc>
          <w:tcPr>
            <w:tcW w:w="512" w:type="pct"/>
            <w:vMerge/>
            <w:tcBorders>
              <w:top w:val="nil"/>
              <w:left w:val="single" w:sz="8" w:space="0" w:color="666666"/>
              <w:bottom w:val="single" w:sz="8" w:space="0" w:color="666666"/>
              <w:right w:val="single" w:sz="8" w:space="0" w:color="666666"/>
            </w:tcBorders>
            <w:vAlign w:val="center"/>
            <w:hideMark/>
          </w:tcPr>
          <w:p w14:paraId="59880BE3" w14:textId="77777777" w:rsidR="00D51FE9" w:rsidRPr="00D51FE9" w:rsidRDefault="00D51FE9" w:rsidP="00D51FE9">
            <w:pPr>
              <w:spacing w:before="0" w:after="0" w:line="240" w:lineRule="auto"/>
              <w:rPr>
                <w:rFonts w:ascii="Calibri" w:eastAsia="Times New Roman" w:hAnsi="Calibri" w:cs="Calibri"/>
                <w:b/>
                <w:bCs/>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533CE2D9" w14:textId="77777777" w:rsidR="00D51FE9" w:rsidRPr="00D51FE9" w:rsidRDefault="00D51FE9" w:rsidP="00D51FE9">
            <w:pPr>
              <w:spacing w:before="0" w:after="0" w:line="240" w:lineRule="auto"/>
              <w:rPr>
                <w:rFonts w:ascii="Calibri" w:eastAsia="Times New Roman" w:hAnsi="Calibri" w:cs="Calibri"/>
                <w:sz w:val="18"/>
                <w:szCs w:val="18"/>
                <w:lang w:eastAsia="it-IT"/>
              </w:rPr>
            </w:pPr>
          </w:p>
        </w:tc>
        <w:tc>
          <w:tcPr>
            <w:tcW w:w="2219" w:type="pct"/>
            <w:tcBorders>
              <w:top w:val="nil"/>
              <w:left w:val="nil"/>
              <w:bottom w:val="nil"/>
              <w:right w:val="single" w:sz="8" w:space="0" w:color="666666"/>
            </w:tcBorders>
            <w:shd w:val="clear" w:color="000000" w:fill="FFFFFF"/>
            <w:vAlign w:val="center"/>
            <w:hideMark/>
          </w:tcPr>
          <w:p w14:paraId="61D78170" w14:textId="77777777" w:rsidR="00D51FE9" w:rsidRPr="00D51FE9" w:rsidRDefault="00D51FE9" w:rsidP="00D51FE9">
            <w:pPr>
              <w:spacing w:before="0" w:after="0" w:line="240" w:lineRule="auto"/>
              <w:jc w:val="both"/>
              <w:rPr>
                <w:rFonts w:ascii="Calibri" w:eastAsia="Times New Roman" w:hAnsi="Calibri" w:cs="Calibri"/>
                <w:b/>
                <w:bCs/>
                <w:color w:val="000000"/>
                <w:sz w:val="18"/>
                <w:szCs w:val="18"/>
                <w:lang w:eastAsia="it-IT"/>
              </w:rPr>
            </w:pPr>
            <w:r w:rsidRPr="00D51FE9">
              <w:rPr>
                <w:rFonts w:ascii="Calibri" w:eastAsia="Times New Roman" w:hAnsi="Calibri" w:cs="Calibri"/>
                <w:b/>
                <w:bCs/>
                <w:color w:val="000000"/>
                <w:sz w:val="18"/>
                <w:szCs w:val="18"/>
                <w:lang w:eastAsia="it-IT"/>
              </w:rPr>
              <w:t>Rischio Medio:</w:t>
            </w:r>
            <w:r w:rsidRPr="00D51FE9">
              <w:rPr>
                <w:rFonts w:ascii="Calibri" w:eastAsia="Times New Roman" w:hAnsi="Calibri" w:cs="Calibri"/>
                <w:color w:val="000000"/>
                <w:sz w:val="18"/>
                <w:szCs w:val="18"/>
                <w:lang w:eastAsia="it-IT"/>
              </w:rPr>
              <w:t xml:space="preserve"> operatività riferibile ad aree geografiche a rischio elevato/medio che si verifica entro un valore medio per il processo / procedimento in questione</w:t>
            </w:r>
          </w:p>
        </w:tc>
        <w:tc>
          <w:tcPr>
            <w:tcW w:w="264" w:type="pct"/>
            <w:tcBorders>
              <w:top w:val="nil"/>
              <w:left w:val="single" w:sz="4" w:space="0" w:color="auto"/>
              <w:bottom w:val="single" w:sz="4" w:space="0" w:color="auto"/>
              <w:right w:val="single" w:sz="4" w:space="0" w:color="auto"/>
            </w:tcBorders>
            <w:shd w:val="clear" w:color="000000" w:fill="FFFFFF"/>
            <w:noWrap/>
            <w:vAlign w:val="center"/>
            <w:hideMark/>
          </w:tcPr>
          <w:p w14:paraId="238D8107"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12,5</w:t>
            </w:r>
          </w:p>
        </w:tc>
      </w:tr>
      <w:tr w:rsidR="00D51FE9" w:rsidRPr="00D51FE9" w14:paraId="0F042FAC" w14:textId="77777777" w:rsidTr="00D51FE9">
        <w:trPr>
          <w:trHeight w:val="480"/>
        </w:trPr>
        <w:tc>
          <w:tcPr>
            <w:tcW w:w="512" w:type="pct"/>
            <w:vMerge/>
            <w:tcBorders>
              <w:top w:val="nil"/>
              <w:left w:val="single" w:sz="8" w:space="0" w:color="666666"/>
              <w:bottom w:val="single" w:sz="8" w:space="0" w:color="666666"/>
              <w:right w:val="single" w:sz="8" w:space="0" w:color="666666"/>
            </w:tcBorders>
            <w:vAlign w:val="center"/>
            <w:hideMark/>
          </w:tcPr>
          <w:p w14:paraId="1D4D9EB0" w14:textId="77777777" w:rsidR="00D51FE9" w:rsidRPr="00D51FE9" w:rsidRDefault="00D51FE9" w:rsidP="00D51FE9">
            <w:pPr>
              <w:spacing w:before="0" w:after="0" w:line="240" w:lineRule="auto"/>
              <w:rPr>
                <w:rFonts w:ascii="Calibri" w:eastAsia="Times New Roman" w:hAnsi="Calibri" w:cs="Calibri"/>
                <w:b/>
                <w:bCs/>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45CD754B" w14:textId="77777777" w:rsidR="00D51FE9" w:rsidRPr="00D51FE9" w:rsidRDefault="00D51FE9" w:rsidP="00D51FE9">
            <w:pPr>
              <w:spacing w:before="0" w:after="0" w:line="240" w:lineRule="auto"/>
              <w:rPr>
                <w:rFonts w:ascii="Calibri" w:eastAsia="Times New Roman" w:hAnsi="Calibri" w:cs="Calibri"/>
                <w:sz w:val="18"/>
                <w:szCs w:val="18"/>
                <w:lang w:eastAsia="it-IT"/>
              </w:rPr>
            </w:pPr>
          </w:p>
        </w:tc>
        <w:tc>
          <w:tcPr>
            <w:tcW w:w="2219" w:type="pct"/>
            <w:tcBorders>
              <w:top w:val="nil"/>
              <w:left w:val="nil"/>
              <w:bottom w:val="nil"/>
              <w:right w:val="single" w:sz="8" w:space="0" w:color="666666"/>
            </w:tcBorders>
            <w:shd w:val="clear" w:color="000000" w:fill="FFFFFF"/>
            <w:vAlign w:val="center"/>
            <w:hideMark/>
          </w:tcPr>
          <w:p w14:paraId="7619904A" w14:textId="77777777" w:rsidR="00D51FE9" w:rsidRPr="00D51FE9" w:rsidRDefault="00D51FE9" w:rsidP="00D51FE9">
            <w:pPr>
              <w:spacing w:before="0" w:after="0" w:line="240" w:lineRule="auto"/>
              <w:jc w:val="both"/>
              <w:rPr>
                <w:rFonts w:ascii="Calibri" w:eastAsia="Times New Roman" w:hAnsi="Calibri" w:cs="Calibri"/>
                <w:b/>
                <w:bCs/>
                <w:color w:val="000000"/>
                <w:sz w:val="18"/>
                <w:szCs w:val="18"/>
                <w:lang w:eastAsia="it-IT"/>
              </w:rPr>
            </w:pPr>
            <w:r w:rsidRPr="00D51FE9">
              <w:rPr>
                <w:rFonts w:ascii="Calibri" w:eastAsia="Times New Roman" w:hAnsi="Calibri" w:cs="Calibri"/>
                <w:b/>
                <w:bCs/>
                <w:color w:val="000000"/>
                <w:sz w:val="18"/>
                <w:szCs w:val="18"/>
                <w:lang w:eastAsia="it-IT"/>
              </w:rPr>
              <w:t xml:space="preserve">Rischio Medio-Basso: </w:t>
            </w:r>
            <w:r w:rsidRPr="00D51FE9">
              <w:rPr>
                <w:rFonts w:ascii="Calibri" w:eastAsia="Times New Roman" w:hAnsi="Calibri" w:cs="Calibri"/>
                <w:color w:val="000000"/>
                <w:sz w:val="18"/>
                <w:szCs w:val="18"/>
                <w:lang w:eastAsia="it-IT"/>
              </w:rPr>
              <w:t>operatività riferibile ad aree geografiche a rischio medio che si verifica entro un valore medio-basso per il processo / procedimento in questione</w:t>
            </w:r>
          </w:p>
        </w:tc>
        <w:tc>
          <w:tcPr>
            <w:tcW w:w="264" w:type="pct"/>
            <w:tcBorders>
              <w:top w:val="nil"/>
              <w:left w:val="single" w:sz="4" w:space="0" w:color="auto"/>
              <w:bottom w:val="single" w:sz="4" w:space="0" w:color="auto"/>
              <w:right w:val="single" w:sz="4" w:space="0" w:color="auto"/>
            </w:tcBorders>
            <w:shd w:val="clear" w:color="000000" w:fill="FFFFFF"/>
            <w:noWrap/>
            <w:vAlign w:val="center"/>
            <w:hideMark/>
          </w:tcPr>
          <w:p w14:paraId="4DC1631D"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7,5</w:t>
            </w:r>
          </w:p>
        </w:tc>
      </w:tr>
      <w:tr w:rsidR="00D51FE9" w:rsidRPr="00D51FE9" w14:paraId="1366B706" w14:textId="77777777" w:rsidTr="00D51FE9">
        <w:trPr>
          <w:trHeight w:val="495"/>
        </w:trPr>
        <w:tc>
          <w:tcPr>
            <w:tcW w:w="512" w:type="pct"/>
            <w:vMerge/>
            <w:tcBorders>
              <w:top w:val="nil"/>
              <w:left w:val="single" w:sz="8" w:space="0" w:color="666666"/>
              <w:bottom w:val="single" w:sz="8" w:space="0" w:color="666666"/>
              <w:right w:val="single" w:sz="8" w:space="0" w:color="666666"/>
            </w:tcBorders>
            <w:vAlign w:val="center"/>
            <w:hideMark/>
          </w:tcPr>
          <w:p w14:paraId="2EA58EAF" w14:textId="77777777" w:rsidR="00D51FE9" w:rsidRPr="00D51FE9" w:rsidRDefault="00D51FE9" w:rsidP="00D51FE9">
            <w:pPr>
              <w:spacing w:before="0" w:after="0" w:line="240" w:lineRule="auto"/>
              <w:rPr>
                <w:rFonts w:ascii="Calibri" w:eastAsia="Times New Roman" w:hAnsi="Calibri" w:cs="Calibri"/>
                <w:b/>
                <w:bCs/>
                <w:sz w:val="18"/>
                <w:szCs w:val="18"/>
                <w:lang w:eastAsia="it-IT"/>
              </w:rPr>
            </w:pPr>
          </w:p>
        </w:tc>
        <w:tc>
          <w:tcPr>
            <w:tcW w:w="2004" w:type="pct"/>
            <w:vMerge/>
            <w:tcBorders>
              <w:top w:val="nil"/>
              <w:left w:val="single" w:sz="8" w:space="0" w:color="666666"/>
              <w:bottom w:val="single" w:sz="8" w:space="0" w:color="666666"/>
              <w:right w:val="single" w:sz="8" w:space="0" w:color="666666"/>
            </w:tcBorders>
            <w:vAlign w:val="center"/>
            <w:hideMark/>
          </w:tcPr>
          <w:p w14:paraId="205FA811" w14:textId="77777777" w:rsidR="00D51FE9" w:rsidRPr="00D51FE9" w:rsidRDefault="00D51FE9" w:rsidP="00D51FE9">
            <w:pPr>
              <w:spacing w:before="0" w:after="0" w:line="240" w:lineRule="auto"/>
              <w:rPr>
                <w:rFonts w:ascii="Calibri" w:eastAsia="Times New Roman" w:hAnsi="Calibri" w:cs="Calibri"/>
                <w:sz w:val="18"/>
                <w:szCs w:val="18"/>
                <w:lang w:eastAsia="it-IT"/>
              </w:rPr>
            </w:pPr>
          </w:p>
        </w:tc>
        <w:tc>
          <w:tcPr>
            <w:tcW w:w="2219" w:type="pct"/>
            <w:tcBorders>
              <w:top w:val="nil"/>
              <w:left w:val="nil"/>
              <w:bottom w:val="single" w:sz="8" w:space="0" w:color="666666"/>
              <w:right w:val="single" w:sz="8" w:space="0" w:color="666666"/>
            </w:tcBorders>
            <w:shd w:val="clear" w:color="000000" w:fill="FFFFFF"/>
            <w:vAlign w:val="center"/>
            <w:hideMark/>
          </w:tcPr>
          <w:p w14:paraId="10BF5B83" w14:textId="77777777" w:rsidR="00D51FE9" w:rsidRPr="00D51FE9" w:rsidRDefault="00D51FE9" w:rsidP="00D51FE9">
            <w:pPr>
              <w:spacing w:before="0" w:after="0" w:line="240" w:lineRule="auto"/>
              <w:jc w:val="both"/>
              <w:rPr>
                <w:rFonts w:ascii="Calibri" w:eastAsia="Times New Roman" w:hAnsi="Calibri" w:cs="Calibri"/>
                <w:b/>
                <w:bCs/>
                <w:color w:val="000000"/>
                <w:sz w:val="18"/>
                <w:szCs w:val="18"/>
                <w:lang w:eastAsia="it-IT"/>
              </w:rPr>
            </w:pPr>
            <w:r w:rsidRPr="00D51FE9">
              <w:rPr>
                <w:rFonts w:ascii="Calibri" w:eastAsia="Times New Roman" w:hAnsi="Calibri" w:cs="Calibri"/>
                <w:b/>
                <w:bCs/>
                <w:color w:val="000000"/>
                <w:sz w:val="18"/>
                <w:szCs w:val="18"/>
                <w:lang w:eastAsia="it-IT"/>
              </w:rPr>
              <w:t>Rischio Basso:</w:t>
            </w:r>
            <w:r w:rsidRPr="00D51FE9">
              <w:rPr>
                <w:rFonts w:ascii="Calibri" w:eastAsia="Times New Roman" w:hAnsi="Calibri" w:cs="Calibri"/>
                <w:color w:val="000000"/>
                <w:sz w:val="18"/>
                <w:szCs w:val="18"/>
                <w:lang w:eastAsia="it-IT"/>
              </w:rPr>
              <w:t xml:space="preserve"> operatività riferibile ad aree geografiche a rischio medio/basso che si verifica entro un valore basso per il processo / procedimento in questione</w:t>
            </w:r>
          </w:p>
        </w:tc>
        <w:tc>
          <w:tcPr>
            <w:tcW w:w="264" w:type="pct"/>
            <w:tcBorders>
              <w:top w:val="nil"/>
              <w:left w:val="single" w:sz="4" w:space="0" w:color="auto"/>
              <w:bottom w:val="single" w:sz="4" w:space="0" w:color="auto"/>
              <w:right w:val="single" w:sz="4" w:space="0" w:color="auto"/>
            </w:tcBorders>
            <w:shd w:val="clear" w:color="000000" w:fill="FFFFFF"/>
            <w:noWrap/>
            <w:vAlign w:val="center"/>
            <w:hideMark/>
          </w:tcPr>
          <w:p w14:paraId="18266112" w14:textId="77777777" w:rsidR="00D51FE9" w:rsidRPr="00D51FE9" w:rsidRDefault="00D51FE9" w:rsidP="00D51FE9">
            <w:pPr>
              <w:spacing w:before="0" w:after="0" w:line="240" w:lineRule="auto"/>
              <w:jc w:val="center"/>
              <w:rPr>
                <w:rFonts w:ascii="Arial" w:eastAsia="Times New Roman" w:hAnsi="Arial" w:cs="Arial"/>
                <w:lang w:eastAsia="it-IT"/>
              </w:rPr>
            </w:pPr>
            <w:r w:rsidRPr="00D51FE9">
              <w:rPr>
                <w:rFonts w:ascii="Arial" w:eastAsia="Times New Roman" w:hAnsi="Arial" w:cs="Arial"/>
                <w:lang w:eastAsia="it-IT"/>
              </w:rPr>
              <w:t>3,5</w:t>
            </w:r>
          </w:p>
        </w:tc>
      </w:tr>
    </w:tbl>
    <w:p w14:paraId="65E4E7E7" w14:textId="636D30D1" w:rsidR="00D51FE9" w:rsidRDefault="00D51FE9" w:rsidP="00A33F87"/>
    <w:p w14:paraId="22FB7EF5" w14:textId="77777777" w:rsidR="00D51FE9" w:rsidRPr="00D51FE9" w:rsidRDefault="00D51FE9" w:rsidP="00D51FE9">
      <w:pPr>
        <w:jc w:val="both"/>
      </w:pPr>
      <w:r w:rsidRPr="00D51FE9">
        <w:t>Ciascuna delle precedenti quattro variabili viene poi pesata per calcolare il grado di rischio inerente (e può essere modificata a seconda delle esigenze della singola Camera):</w:t>
      </w:r>
    </w:p>
    <w:p w14:paraId="254247EF" w14:textId="21A03D00" w:rsidR="00D51FE9" w:rsidRPr="00D51FE9" w:rsidRDefault="00D51FE9" w:rsidP="00D51FE9">
      <w:pPr>
        <w:jc w:val="both"/>
      </w:pPr>
      <w:r w:rsidRPr="00D51FE9">
        <w:t>Tipologia di clientela</w:t>
      </w:r>
      <w:r w:rsidRPr="00D51FE9">
        <w:tab/>
      </w:r>
      <w:r w:rsidRPr="00D51FE9">
        <w:tab/>
      </w:r>
      <w:r>
        <w:tab/>
      </w:r>
      <w:r w:rsidRPr="00D51FE9">
        <w:tab/>
      </w:r>
      <w:r w:rsidRPr="00D51FE9">
        <w:tab/>
        <w:t>peso: 30%</w:t>
      </w:r>
    </w:p>
    <w:p w14:paraId="7ACE67E0" w14:textId="77777777" w:rsidR="00D51FE9" w:rsidRPr="00D51FE9" w:rsidRDefault="00D51FE9" w:rsidP="00D51FE9">
      <w:pPr>
        <w:jc w:val="both"/>
      </w:pPr>
      <w:r w:rsidRPr="00D51FE9">
        <w:lastRenderedPageBreak/>
        <w:t>Caratteristiche dei prodotti / Servizi</w:t>
      </w:r>
      <w:r w:rsidRPr="00D51FE9">
        <w:tab/>
      </w:r>
      <w:r w:rsidRPr="00D51FE9">
        <w:tab/>
      </w:r>
      <w:r w:rsidRPr="00D51FE9">
        <w:tab/>
        <w:t>peso: 30%</w:t>
      </w:r>
    </w:p>
    <w:p w14:paraId="5B73E439" w14:textId="77777777" w:rsidR="00D51FE9" w:rsidRPr="00D51FE9" w:rsidRDefault="00D51FE9" w:rsidP="00D51FE9">
      <w:pPr>
        <w:jc w:val="both"/>
      </w:pPr>
      <w:r w:rsidRPr="00D51FE9">
        <w:t>Canali attraverso cui sono erogati i prodotti/servizi</w:t>
      </w:r>
      <w:r w:rsidRPr="00D51FE9">
        <w:tab/>
      </w:r>
      <w:r w:rsidRPr="00D51FE9">
        <w:tab/>
        <w:t>peso: 10%</w:t>
      </w:r>
    </w:p>
    <w:p w14:paraId="0807559F" w14:textId="77777777" w:rsidR="00D51FE9" w:rsidRPr="00D51FE9" w:rsidRDefault="00D51FE9" w:rsidP="00D51FE9">
      <w:pPr>
        <w:jc w:val="both"/>
      </w:pPr>
      <w:r w:rsidRPr="00D51FE9">
        <w:t>Aree geografiche di riferimento</w:t>
      </w:r>
      <w:r w:rsidRPr="00D51FE9">
        <w:tab/>
      </w:r>
      <w:r w:rsidRPr="00D51FE9">
        <w:tab/>
      </w:r>
      <w:r w:rsidRPr="00D51FE9">
        <w:tab/>
      </w:r>
      <w:r w:rsidRPr="00D51FE9">
        <w:tab/>
        <w:t>peso: 30%</w:t>
      </w:r>
    </w:p>
    <w:p w14:paraId="1C6C725B" w14:textId="77777777" w:rsidR="00D51FE9" w:rsidRPr="00D51FE9" w:rsidRDefault="00D51FE9" w:rsidP="00D51FE9">
      <w:pPr>
        <w:jc w:val="both"/>
      </w:pPr>
      <w:r w:rsidRPr="00D51FE9">
        <w:t> </w:t>
      </w:r>
    </w:p>
    <w:p w14:paraId="076BCC60" w14:textId="77777777" w:rsidR="00D51FE9" w:rsidRPr="00D51FE9" w:rsidRDefault="00D51FE9" w:rsidP="00D51FE9">
      <w:pPr>
        <w:jc w:val="both"/>
      </w:pPr>
      <w:r w:rsidRPr="00D51FE9">
        <w:t>Ulteriore passo da compiere è calcolare il RISCHIO RESIDUO, ovvero il grado di rischio di un processo dopo aver applicato le misure di contrasto agli eventi rischiosi. Tale calcolo passa attraverso la fase di definizione del GRADO DI EFFICACIA DELLE MISURE, ovvero la valutazione dell'efficacia o meno delle misure messe in atto per mitigare i rischi. Di seguito gli elementi da considerare:</w:t>
      </w:r>
    </w:p>
    <w:p w14:paraId="6EF6A07C" w14:textId="02C86A83" w:rsidR="00D51FE9" w:rsidRDefault="00ED0CAE" w:rsidP="00A33F87">
      <w:r>
        <w:rPr>
          <w:noProof/>
        </w:rPr>
        <w:drawing>
          <wp:inline distT="0" distB="0" distL="0" distR="0" wp14:anchorId="3F883AE7" wp14:editId="68487753">
            <wp:extent cx="3934364" cy="1068801"/>
            <wp:effectExtent l="0" t="0" r="9525" b="0"/>
            <wp:docPr id="17" name="Immagine 16">
              <a:extLst xmlns:a="http://schemas.openxmlformats.org/drawingml/2006/main">
                <a:ext uri="{FF2B5EF4-FFF2-40B4-BE49-F238E27FC236}">
                  <a16:creationId xmlns:a16="http://schemas.microsoft.com/office/drawing/2014/main" id="{1CF98F32-FEC6-410F-B842-11295029C51F}"/>
                </a:ext>
              </a:extLst>
            </wp:docPr>
            <wp:cNvGraphicFramePr/>
            <a:graphic xmlns:a="http://schemas.openxmlformats.org/drawingml/2006/main">
              <a:graphicData uri="http://schemas.openxmlformats.org/drawingml/2006/picture">
                <pic:pic xmlns:pic="http://schemas.openxmlformats.org/drawingml/2006/picture">
                  <pic:nvPicPr>
                    <pic:cNvPr id="17" name="Immagine 16">
                      <a:extLst>
                        <a:ext uri="{FF2B5EF4-FFF2-40B4-BE49-F238E27FC236}">
                          <a16:creationId xmlns:a16="http://schemas.microsoft.com/office/drawing/2014/main" id="{1CF98F32-FEC6-410F-B842-11295029C51F}"/>
                        </a:ext>
                      </a:extLst>
                    </pic:cNvPr>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4364" cy="1068801"/>
                    </a:xfrm>
                    <a:prstGeom prst="rect">
                      <a:avLst/>
                    </a:prstGeom>
                    <a:noFill/>
                    <a:ln>
                      <a:noFill/>
                    </a:ln>
                  </pic:spPr>
                </pic:pic>
              </a:graphicData>
            </a:graphic>
          </wp:inline>
        </w:drawing>
      </w:r>
    </w:p>
    <w:p w14:paraId="7A76F7D5" w14:textId="77777777" w:rsidR="00ED0CAE" w:rsidRPr="00ED0CAE" w:rsidRDefault="00ED0CAE" w:rsidP="00ED0CAE">
      <w:pPr>
        <w:jc w:val="both"/>
      </w:pPr>
      <w:r w:rsidRPr="00ED0CAE">
        <w:t xml:space="preserve">I giudizi, in questo frangente, sono molto soggettivi e ogni amministrazione può definire le declaratorie che ritiene più opportune. La scala di valutazione è sempre basata su cinque fattori (Basso, Medio-Basso, Medio, Medio-Alto, Alto). </w:t>
      </w:r>
      <w:r w:rsidRPr="00ED0CAE">
        <w:rPr>
          <w:b/>
          <w:bCs/>
        </w:rPr>
        <w:t>Le misure sono tanto efficaci quanto permettono di comunicare eventuali casi sospetti.</w:t>
      </w:r>
      <w:r w:rsidRPr="00ED0CAE">
        <w:t xml:space="preserve"> Di seguito possibili declaratorie con scale di valutazione:</w:t>
      </w:r>
    </w:p>
    <w:tbl>
      <w:tblPr>
        <w:tblW w:w="5000" w:type="pct"/>
        <w:tblCellMar>
          <w:left w:w="70" w:type="dxa"/>
          <w:right w:w="70" w:type="dxa"/>
        </w:tblCellMar>
        <w:tblLook w:val="04A0" w:firstRow="1" w:lastRow="0" w:firstColumn="1" w:lastColumn="0" w:noHBand="0" w:noVBand="1"/>
      </w:tblPr>
      <w:tblGrid>
        <w:gridCol w:w="2304"/>
        <w:gridCol w:w="3100"/>
        <w:gridCol w:w="3505"/>
        <w:gridCol w:w="585"/>
      </w:tblGrid>
      <w:tr w:rsidR="00ED0CAE" w:rsidRPr="00ED0CAE" w14:paraId="272215D9" w14:textId="77777777" w:rsidTr="00ED0CAE">
        <w:trPr>
          <w:trHeight w:val="255"/>
        </w:trPr>
        <w:tc>
          <w:tcPr>
            <w:tcW w:w="1213" w:type="pct"/>
            <w:tcBorders>
              <w:top w:val="single" w:sz="4" w:space="0" w:color="auto"/>
              <w:left w:val="single" w:sz="4" w:space="0" w:color="auto"/>
              <w:bottom w:val="single" w:sz="4" w:space="0" w:color="auto"/>
              <w:right w:val="single" w:sz="4" w:space="0" w:color="auto"/>
            </w:tcBorders>
            <w:shd w:val="clear" w:color="000000" w:fill="000000"/>
            <w:vAlign w:val="center"/>
            <w:hideMark/>
          </w:tcPr>
          <w:p w14:paraId="44EB3FAE" w14:textId="77777777" w:rsidR="00ED0CAE" w:rsidRPr="00ED0CAE" w:rsidRDefault="00ED0CAE" w:rsidP="00ED0CAE">
            <w:pPr>
              <w:spacing w:before="0" w:after="0" w:line="240" w:lineRule="auto"/>
              <w:jc w:val="both"/>
              <w:rPr>
                <w:rFonts w:ascii="Calibri" w:eastAsia="Times New Roman" w:hAnsi="Calibri" w:cs="Calibri"/>
                <w:b/>
                <w:bCs/>
                <w:color w:val="FFFFFF"/>
                <w:sz w:val="18"/>
                <w:szCs w:val="18"/>
                <w:lang w:eastAsia="it-IT"/>
              </w:rPr>
            </w:pPr>
            <w:r w:rsidRPr="00ED0CAE">
              <w:rPr>
                <w:rFonts w:ascii="Calibri" w:eastAsia="Times New Roman" w:hAnsi="Calibri" w:cs="Calibri"/>
                <w:b/>
                <w:bCs/>
                <w:color w:val="FFFFFF"/>
                <w:sz w:val="18"/>
                <w:szCs w:val="18"/>
                <w:lang w:eastAsia="it-IT"/>
              </w:rPr>
              <w:t>Misure</w:t>
            </w:r>
          </w:p>
        </w:tc>
        <w:tc>
          <w:tcPr>
            <w:tcW w:w="1633" w:type="pct"/>
            <w:tcBorders>
              <w:top w:val="single" w:sz="4" w:space="0" w:color="auto"/>
              <w:left w:val="nil"/>
              <w:bottom w:val="single" w:sz="4" w:space="0" w:color="auto"/>
              <w:right w:val="single" w:sz="4" w:space="0" w:color="auto"/>
            </w:tcBorders>
            <w:shd w:val="clear" w:color="000000" w:fill="000000"/>
            <w:vAlign w:val="center"/>
            <w:hideMark/>
          </w:tcPr>
          <w:p w14:paraId="0FF6C4F7" w14:textId="77777777" w:rsidR="00ED0CAE" w:rsidRPr="00ED0CAE" w:rsidRDefault="00ED0CAE" w:rsidP="00ED0CAE">
            <w:pPr>
              <w:spacing w:before="0" w:after="0" w:line="240" w:lineRule="auto"/>
              <w:jc w:val="both"/>
              <w:rPr>
                <w:rFonts w:ascii="Calibri" w:eastAsia="Times New Roman" w:hAnsi="Calibri" w:cs="Calibri"/>
                <w:b/>
                <w:bCs/>
                <w:color w:val="FFFFFF"/>
                <w:sz w:val="18"/>
                <w:szCs w:val="18"/>
                <w:lang w:eastAsia="it-IT"/>
              </w:rPr>
            </w:pPr>
            <w:r w:rsidRPr="00ED0CAE">
              <w:rPr>
                <w:rFonts w:ascii="Calibri" w:eastAsia="Times New Roman" w:hAnsi="Calibri" w:cs="Calibri"/>
                <w:b/>
                <w:bCs/>
                <w:color w:val="FFFFFF"/>
                <w:sz w:val="18"/>
                <w:szCs w:val="18"/>
                <w:lang w:eastAsia="it-IT"/>
              </w:rPr>
              <w:t xml:space="preserve"> Criteri di valutazione </w:t>
            </w:r>
          </w:p>
        </w:tc>
        <w:tc>
          <w:tcPr>
            <w:tcW w:w="1846" w:type="pct"/>
            <w:tcBorders>
              <w:top w:val="single" w:sz="4" w:space="0" w:color="auto"/>
              <w:left w:val="nil"/>
              <w:bottom w:val="single" w:sz="4" w:space="0" w:color="auto"/>
              <w:right w:val="single" w:sz="4" w:space="0" w:color="auto"/>
            </w:tcBorders>
            <w:shd w:val="clear" w:color="000000" w:fill="000000"/>
            <w:vAlign w:val="center"/>
            <w:hideMark/>
          </w:tcPr>
          <w:p w14:paraId="08EEE78A" w14:textId="77777777" w:rsidR="00ED0CAE" w:rsidRPr="00ED0CAE" w:rsidRDefault="00ED0CAE" w:rsidP="00ED0CAE">
            <w:pPr>
              <w:spacing w:before="0" w:after="0" w:line="240" w:lineRule="auto"/>
              <w:jc w:val="both"/>
              <w:rPr>
                <w:rFonts w:ascii="Calibri" w:eastAsia="Times New Roman" w:hAnsi="Calibri" w:cs="Calibri"/>
                <w:b/>
                <w:bCs/>
                <w:color w:val="FFFFFF"/>
                <w:sz w:val="18"/>
                <w:szCs w:val="18"/>
                <w:lang w:eastAsia="it-IT"/>
              </w:rPr>
            </w:pPr>
            <w:r w:rsidRPr="00ED0CAE">
              <w:rPr>
                <w:rFonts w:ascii="Calibri" w:eastAsia="Times New Roman" w:hAnsi="Calibri" w:cs="Calibri"/>
                <w:b/>
                <w:bCs/>
                <w:color w:val="FFFFFF"/>
                <w:sz w:val="18"/>
                <w:szCs w:val="18"/>
                <w:lang w:eastAsia="it-IT"/>
              </w:rPr>
              <w:t xml:space="preserve">Declaratorie </w:t>
            </w:r>
          </w:p>
        </w:tc>
        <w:tc>
          <w:tcPr>
            <w:tcW w:w="308" w:type="pct"/>
            <w:tcBorders>
              <w:top w:val="single" w:sz="4" w:space="0" w:color="auto"/>
              <w:left w:val="nil"/>
              <w:bottom w:val="single" w:sz="4" w:space="0" w:color="auto"/>
              <w:right w:val="single" w:sz="4" w:space="0" w:color="auto"/>
            </w:tcBorders>
            <w:shd w:val="clear" w:color="000000" w:fill="000000"/>
            <w:vAlign w:val="center"/>
            <w:hideMark/>
          </w:tcPr>
          <w:p w14:paraId="50354843" w14:textId="77777777" w:rsidR="00ED0CAE" w:rsidRPr="00ED0CAE" w:rsidRDefault="00ED0CAE" w:rsidP="00ED0CAE">
            <w:pPr>
              <w:spacing w:before="0" w:after="0" w:line="240" w:lineRule="auto"/>
              <w:jc w:val="both"/>
              <w:rPr>
                <w:rFonts w:ascii="Calibri" w:eastAsia="Times New Roman" w:hAnsi="Calibri" w:cs="Calibri"/>
                <w:b/>
                <w:bCs/>
                <w:color w:val="FFFFFF"/>
                <w:sz w:val="18"/>
                <w:szCs w:val="18"/>
                <w:lang w:eastAsia="it-IT"/>
              </w:rPr>
            </w:pPr>
            <w:r w:rsidRPr="00ED0CAE">
              <w:rPr>
                <w:rFonts w:ascii="Calibri" w:eastAsia="Times New Roman" w:hAnsi="Calibri" w:cs="Calibri"/>
                <w:b/>
                <w:bCs/>
                <w:color w:val="FFFFFF"/>
                <w:sz w:val="18"/>
                <w:szCs w:val="18"/>
                <w:lang w:eastAsia="it-IT"/>
              </w:rPr>
              <w:t xml:space="preserve">Valori </w:t>
            </w:r>
          </w:p>
        </w:tc>
      </w:tr>
      <w:tr w:rsidR="00ED0CAE" w:rsidRPr="00ED0CAE" w14:paraId="099EBA86" w14:textId="77777777" w:rsidTr="00ED0CAE">
        <w:trPr>
          <w:trHeight w:val="720"/>
        </w:trPr>
        <w:tc>
          <w:tcPr>
            <w:tcW w:w="1213" w:type="pct"/>
            <w:vMerge w:val="restart"/>
            <w:tcBorders>
              <w:top w:val="nil"/>
              <w:left w:val="single" w:sz="8" w:space="0" w:color="666666"/>
              <w:bottom w:val="single" w:sz="8" w:space="0" w:color="666666"/>
              <w:right w:val="single" w:sz="8" w:space="0" w:color="666666"/>
            </w:tcBorders>
            <w:shd w:val="clear" w:color="000000" w:fill="CCCCCC"/>
            <w:vAlign w:val="center"/>
            <w:hideMark/>
          </w:tcPr>
          <w:p w14:paraId="61ACE1B3" w14:textId="77777777" w:rsidR="00ED0CAE" w:rsidRPr="00ED0CAE" w:rsidRDefault="00ED0CAE" w:rsidP="00ED0CAE">
            <w:pPr>
              <w:spacing w:before="0" w:after="0" w:line="240" w:lineRule="auto"/>
              <w:jc w:val="both"/>
              <w:rPr>
                <w:rFonts w:ascii="Calibri" w:eastAsia="Times New Roman" w:hAnsi="Calibri" w:cs="Calibri"/>
                <w:b/>
                <w:bCs/>
                <w:color w:val="000000"/>
                <w:sz w:val="18"/>
                <w:szCs w:val="18"/>
                <w:lang w:eastAsia="it-IT"/>
              </w:rPr>
            </w:pPr>
            <w:r w:rsidRPr="00ED0CAE">
              <w:rPr>
                <w:rFonts w:ascii="Calibri" w:eastAsia="Times New Roman" w:hAnsi="Calibri" w:cs="Calibri"/>
                <w:b/>
                <w:bCs/>
                <w:color w:val="000000"/>
                <w:sz w:val="18"/>
                <w:szCs w:val="18"/>
                <w:lang w:eastAsia="it-IT"/>
              </w:rPr>
              <w:t>Formazione specificatamente dedicata</w:t>
            </w:r>
          </w:p>
        </w:tc>
        <w:tc>
          <w:tcPr>
            <w:tcW w:w="1633" w:type="pct"/>
            <w:vMerge w:val="restart"/>
            <w:tcBorders>
              <w:top w:val="nil"/>
              <w:left w:val="single" w:sz="8" w:space="0" w:color="666666"/>
              <w:bottom w:val="single" w:sz="8" w:space="0" w:color="666666"/>
              <w:right w:val="single" w:sz="8" w:space="0" w:color="666666"/>
            </w:tcBorders>
            <w:shd w:val="clear" w:color="000000" w:fill="CCCCCC"/>
            <w:vAlign w:val="center"/>
            <w:hideMark/>
          </w:tcPr>
          <w:p w14:paraId="405B6EE3" w14:textId="77777777" w:rsidR="00ED0CAE" w:rsidRPr="00ED0CAE" w:rsidRDefault="00ED0CAE" w:rsidP="00ED0CAE">
            <w:pPr>
              <w:spacing w:before="0" w:after="0" w:line="240" w:lineRule="auto"/>
              <w:jc w:val="both"/>
              <w:rPr>
                <w:rFonts w:ascii="Calibri" w:eastAsia="Times New Roman" w:hAnsi="Calibri" w:cs="Calibri"/>
                <w:color w:val="000000"/>
                <w:sz w:val="18"/>
                <w:szCs w:val="18"/>
                <w:lang w:eastAsia="it-IT"/>
              </w:rPr>
            </w:pPr>
            <w:r w:rsidRPr="00ED0CAE">
              <w:rPr>
                <w:rFonts w:ascii="Calibri" w:eastAsia="Times New Roman" w:hAnsi="Calibri" w:cs="Calibri"/>
                <w:color w:val="000000"/>
                <w:sz w:val="18"/>
                <w:szCs w:val="18"/>
                <w:lang w:eastAsia="it-IT"/>
              </w:rPr>
              <w:t xml:space="preserve">La valutazione va effettuata tenendo conto del grado di efficacia della formazione degli operatori (n. utenti formati, totale ore erogate / ore previste, soddisfazione dei partecipanti, nuove misure introdotte a seguito della formazione, su proposta dei partecipanti, miglioramento complessivo della comunicazione interna sulle operazioni sospette, etc.). </w:t>
            </w:r>
          </w:p>
        </w:tc>
        <w:tc>
          <w:tcPr>
            <w:tcW w:w="1846" w:type="pct"/>
            <w:tcBorders>
              <w:top w:val="nil"/>
              <w:left w:val="nil"/>
              <w:bottom w:val="nil"/>
              <w:right w:val="nil"/>
            </w:tcBorders>
            <w:shd w:val="clear" w:color="000000" w:fill="CCCCCC"/>
            <w:vAlign w:val="center"/>
            <w:hideMark/>
          </w:tcPr>
          <w:p w14:paraId="0EB9D2A9"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Alta:</w:t>
            </w:r>
            <w:r w:rsidRPr="00ED0CAE">
              <w:rPr>
                <w:rFonts w:ascii="Calibri" w:eastAsia="Times New Roman" w:hAnsi="Calibri" w:cs="Calibri"/>
                <w:sz w:val="18"/>
                <w:szCs w:val="18"/>
                <w:lang w:eastAsia="it-IT"/>
              </w:rPr>
              <w:t xml:space="preserve"> la formazione ha un'ottima efficacia e influisce in modo significativo sulla percezione del rischio da parte degli operatori, in alcuni casi portandoli a proporre nuovi indicatori di anomalia e/o nuove misure da applicare</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09D348DB"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t>3,5</w:t>
            </w:r>
          </w:p>
        </w:tc>
      </w:tr>
      <w:tr w:rsidR="00ED0CAE" w:rsidRPr="00ED0CAE" w14:paraId="1959CD80" w14:textId="77777777" w:rsidTr="00ED0CAE">
        <w:trPr>
          <w:trHeight w:val="480"/>
        </w:trPr>
        <w:tc>
          <w:tcPr>
            <w:tcW w:w="1213" w:type="pct"/>
            <w:vMerge/>
            <w:tcBorders>
              <w:top w:val="nil"/>
              <w:left w:val="single" w:sz="8" w:space="0" w:color="666666"/>
              <w:bottom w:val="single" w:sz="8" w:space="0" w:color="666666"/>
              <w:right w:val="single" w:sz="8" w:space="0" w:color="666666"/>
            </w:tcBorders>
            <w:vAlign w:val="center"/>
            <w:hideMark/>
          </w:tcPr>
          <w:p w14:paraId="29666CAA" w14:textId="77777777" w:rsidR="00ED0CAE" w:rsidRPr="00ED0CAE" w:rsidRDefault="00ED0CAE" w:rsidP="00ED0CAE">
            <w:pPr>
              <w:spacing w:before="0" w:after="0" w:line="240" w:lineRule="auto"/>
              <w:rPr>
                <w:rFonts w:ascii="Calibri" w:eastAsia="Times New Roman" w:hAnsi="Calibri" w:cs="Calibri"/>
                <w:b/>
                <w:bCs/>
                <w:color w:val="000000"/>
                <w:sz w:val="18"/>
                <w:szCs w:val="18"/>
                <w:lang w:eastAsia="it-IT"/>
              </w:rPr>
            </w:pPr>
          </w:p>
        </w:tc>
        <w:tc>
          <w:tcPr>
            <w:tcW w:w="1633" w:type="pct"/>
            <w:vMerge/>
            <w:tcBorders>
              <w:top w:val="nil"/>
              <w:left w:val="single" w:sz="8" w:space="0" w:color="666666"/>
              <w:bottom w:val="single" w:sz="8" w:space="0" w:color="666666"/>
              <w:right w:val="single" w:sz="8" w:space="0" w:color="666666"/>
            </w:tcBorders>
            <w:vAlign w:val="center"/>
            <w:hideMark/>
          </w:tcPr>
          <w:p w14:paraId="59638242" w14:textId="77777777" w:rsidR="00ED0CAE" w:rsidRPr="00ED0CAE" w:rsidRDefault="00ED0CAE" w:rsidP="00ED0CAE">
            <w:pPr>
              <w:spacing w:before="0" w:after="0" w:line="240" w:lineRule="auto"/>
              <w:rPr>
                <w:rFonts w:ascii="Calibri" w:eastAsia="Times New Roman" w:hAnsi="Calibri" w:cs="Calibri"/>
                <w:color w:val="000000"/>
                <w:sz w:val="18"/>
                <w:szCs w:val="18"/>
                <w:lang w:eastAsia="it-IT"/>
              </w:rPr>
            </w:pPr>
          </w:p>
        </w:tc>
        <w:tc>
          <w:tcPr>
            <w:tcW w:w="1846" w:type="pct"/>
            <w:tcBorders>
              <w:top w:val="nil"/>
              <w:left w:val="nil"/>
              <w:bottom w:val="nil"/>
              <w:right w:val="nil"/>
            </w:tcBorders>
            <w:shd w:val="clear" w:color="000000" w:fill="CCCCCC"/>
            <w:vAlign w:val="center"/>
            <w:hideMark/>
          </w:tcPr>
          <w:p w14:paraId="59890946"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Medio-Alta:</w:t>
            </w:r>
            <w:r w:rsidRPr="00ED0CAE">
              <w:rPr>
                <w:rFonts w:ascii="Calibri" w:eastAsia="Times New Roman" w:hAnsi="Calibri" w:cs="Calibri"/>
                <w:sz w:val="18"/>
                <w:szCs w:val="18"/>
                <w:lang w:eastAsia="it-IT"/>
              </w:rPr>
              <w:t xml:space="preserve"> la formazione ha una buona efficacia e influisce in modo buono sulla percezione del rischio da parte degli operatori</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7935A076"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t>7,5</w:t>
            </w:r>
          </w:p>
        </w:tc>
      </w:tr>
      <w:tr w:rsidR="00ED0CAE" w:rsidRPr="00ED0CAE" w14:paraId="36AC125F" w14:textId="77777777" w:rsidTr="00ED0CAE">
        <w:trPr>
          <w:trHeight w:val="480"/>
        </w:trPr>
        <w:tc>
          <w:tcPr>
            <w:tcW w:w="1213" w:type="pct"/>
            <w:vMerge/>
            <w:tcBorders>
              <w:top w:val="nil"/>
              <w:left w:val="single" w:sz="8" w:space="0" w:color="666666"/>
              <w:bottom w:val="single" w:sz="8" w:space="0" w:color="666666"/>
              <w:right w:val="single" w:sz="8" w:space="0" w:color="666666"/>
            </w:tcBorders>
            <w:vAlign w:val="center"/>
            <w:hideMark/>
          </w:tcPr>
          <w:p w14:paraId="252D5A14" w14:textId="77777777" w:rsidR="00ED0CAE" w:rsidRPr="00ED0CAE" w:rsidRDefault="00ED0CAE" w:rsidP="00ED0CAE">
            <w:pPr>
              <w:spacing w:before="0" w:after="0" w:line="240" w:lineRule="auto"/>
              <w:rPr>
                <w:rFonts w:ascii="Calibri" w:eastAsia="Times New Roman" w:hAnsi="Calibri" w:cs="Calibri"/>
                <w:b/>
                <w:bCs/>
                <w:color w:val="000000"/>
                <w:sz w:val="18"/>
                <w:szCs w:val="18"/>
                <w:lang w:eastAsia="it-IT"/>
              </w:rPr>
            </w:pPr>
          </w:p>
        </w:tc>
        <w:tc>
          <w:tcPr>
            <w:tcW w:w="1633" w:type="pct"/>
            <w:vMerge/>
            <w:tcBorders>
              <w:top w:val="nil"/>
              <w:left w:val="single" w:sz="8" w:space="0" w:color="666666"/>
              <w:bottom w:val="single" w:sz="8" w:space="0" w:color="666666"/>
              <w:right w:val="single" w:sz="8" w:space="0" w:color="666666"/>
            </w:tcBorders>
            <w:vAlign w:val="center"/>
            <w:hideMark/>
          </w:tcPr>
          <w:p w14:paraId="57E57C0B" w14:textId="77777777" w:rsidR="00ED0CAE" w:rsidRPr="00ED0CAE" w:rsidRDefault="00ED0CAE" w:rsidP="00ED0CAE">
            <w:pPr>
              <w:spacing w:before="0" w:after="0" w:line="240" w:lineRule="auto"/>
              <w:rPr>
                <w:rFonts w:ascii="Calibri" w:eastAsia="Times New Roman" w:hAnsi="Calibri" w:cs="Calibri"/>
                <w:color w:val="000000"/>
                <w:sz w:val="18"/>
                <w:szCs w:val="18"/>
                <w:lang w:eastAsia="it-IT"/>
              </w:rPr>
            </w:pPr>
          </w:p>
        </w:tc>
        <w:tc>
          <w:tcPr>
            <w:tcW w:w="1846" w:type="pct"/>
            <w:tcBorders>
              <w:top w:val="nil"/>
              <w:left w:val="nil"/>
              <w:bottom w:val="nil"/>
              <w:right w:val="nil"/>
            </w:tcBorders>
            <w:shd w:val="clear" w:color="000000" w:fill="CCCCCC"/>
            <w:vAlign w:val="center"/>
            <w:hideMark/>
          </w:tcPr>
          <w:p w14:paraId="19D4967A"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Media:</w:t>
            </w:r>
            <w:r w:rsidRPr="00ED0CAE">
              <w:rPr>
                <w:rFonts w:ascii="Calibri" w:eastAsia="Times New Roman" w:hAnsi="Calibri" w:cs="Calibri"/>
                <w:sz w:val="18"/>
                <w:szCs w:val="18"/>
                <w:lang w:eastAsia="it-IT"/>
              </w:rPr>
              <w:t xml:space="preserve"> la formazione è mediamente efficace e influisce in maniera sufficiente sulla percezione del rischio da parte degli operatori</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0B9D900E"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t>12,5</w:t>
            </w:r>
          </w:p>
        </w:tc>
      </w:tr>
      <w:tr w:rsidR="00ED0CAE" w:rsidRPr="00ED0CAE" w14:paraId="66AB1356" w14:textId="77777777" w:rsidTr="00ED0CAE">
        <w:trPr>
          <w:trHeight w:val="480"/>
        </w:trPr>
        <w:tc>
          <w:tcPr>
            <w:tcW w:w="1213" w:type="pct"/>
            <w:vMerge/>
            <w:tcBorders>
              <w:top w:val="nil"/>
              <w:left w:val="single" w:sz="8" w:space="0" w:color="666666"/>
              <w:bottom w:val="single" w:sz="8" w:space="0" w:color="666666"/>
              <w:right w:val="single" w:sz="8" w:space="0" w:color="666666"/>
            </w:tcBorders>
            <w:vAlign w:val="center"/>
            <w:hideMark/>
          </w:tcPr>
          <w:p w14:paraId="0249A394" w14:textId="77777777" w:rsidR="00ED0CAE" w:rsidRPr="00ED0CAE" w:rsidRDefault="00ED0CAE" w:rsidP="00ED0CAE">
            <w:pPr>
              <w:spacing w:before="0" w:after="0" w:line="240" w:lineRule="auto"/>
              <w:rPr>
                <w:rFonts w:ascii="Calibri" w:eastAsia="Times New Roman" w:hAnsi="Calibri" w:cs="Calibri"/>
                <w:b/>
                <w:bCs/>
                <w:color w:val="000000"/>
                <w:sz w:val="18"/>
                <w:szCs w:val="18"/>
                <w:lang w:eastAsia="it-IT"/>
              </w:rPr>
            </w:pPr>
          </w:p>
        </w:tc>
        <w:tc>
          <w:tcPr>
            <w:tcW w:w="1633" w:type="pct"/>
            <w:vMerge/>
            <w:tcBorders>
              <w:top w:val="nil"/>
              <w:left w:val="single" w:sz="8" w:space="0" w:color="666666"/>
              <w:bottom w:val="single" w:sz="8" w:space="0" w:color="666666"/>
              <w:right w:val="single" w:sz="8" w:space="0" w:color="666666"/>
            </w:tcBorders>
            <w:vAlign w:val="center"/>
            <w:hideMark/>
          </w:tcPr>
          <w:p w14:paraId="5E1508CE" w14:textId="77777777" w:rsidR="00ED0CAE" w:rsidRPr="00ED0CAE" w:rsidRDefault="00ED0CAE" w:rsidP="00ED0CAE">
            <w:pPr>
              <w:spacing w:before="0" w:after="0" w:line="240" w:lineRule="auto"/>
              <w:rPr>
                <w:rFonts w:ascii="Calibri" w:eastAsia="Times New Roman" w:hAnsi="Calibri" w:cs="Calibri"/>
                <w:color w:val="000000"/>
                <w:sz w:val="18"/>
                <w:szCs w:val="18"/>
                <w:lang w:eastAsia="it-IT"/>
              </w:rPr>
            </w:pPr>
          </w:p>
        </w:tc>
        <w:tc>
          <w:tcPr>
            <w:tcW w:w="1846" w:type="pct"/>
            <w:tcBorders>
              <w:top w:val="nil"/>
              <w:left w:val="nil"/>
              <w:bottom w:val="nil"/>
              <w:right w:val="nil"/>
            </w:tcBorders>
            <w:shd w:val="clear" w:color="000000" w:fill="CCCCCC"/>
            <w:vAlign w:val="center"/>
            <w:hideMark/>
          </w:tcPr>
          <w:p w14:paraId="67FFAED6"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Medio-Bassa:</w:t>
            </w:r>
            <w:r w:rsidRPr="00ED0CAE">
              <w:rPr>
                <w:rFonts w:ascii="Calibri" w:eastAsia="Times New Roman" w:hAnsi="Calibri" w:cs="Calibri"/>
                <w:sz w:val="18"/>
                <w:szCs w:val="18"/>
                <w:lang w:eastAsia="it-IT"/>
              </w:rPr>
              <w:t xml:space="preserve"> la formazione è difficilmente valutabile e non è dimostrabile un'influenza significativa sulla percezione degli operatori</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56E33D14"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t>17,5</w:t>
            </w:r>
          </w:p>
        </w:tc>
      </w:tr>
      <w:tr w:rsidR="00ED0CAE" w:rsidRPr="00ED0CAE" w14:paraId="5472D87B" w14:textId="77777777" w:rsidTr="00ED0CAE">
        <w:trPr>
          <w:trHeight w:val="270"/>
        </w:trPr>
        <w:tc>
          <w:tcPr>
            <w:tcW w:w="1213" w:type="pct"/>
            <w:vMerge/>
            <w:tcBorders>
              <w:top w:val="nil"/>
              <w:left w:val="single" w:sz="8" w:space="0" w:color="666666"/>
              <w:bottom w:val="single" w:sz="8" w:space="0" w:color="666666"/>
              <w:right w:val="single" w:sz="8" w:space="0" w:color="666666"/>
            </w:tcBorders>
            <w:vAlign w:val="center"/>
            <w:hideMark/>
          </w:tcPr>
          <w:p w14:paraId="4C11B9BC" w14:textId="77777777" w:rsidR="00ED0CAE" w:rsidRPr="00ED0CAE" w:rsidRDefault="00ED0CAE" w:rsidP="00ED0CAE">
            <w:pPr>
              <w:spacing w:before="0" w:after="0" w:line="240" w:lineRule="auto"/>
              <w:rPr>
                <w:rFonts w:ascii="Calibri" w:eastAsia="Times New Roman" w:hAnsi="Calibri" w:cs="Calibri"/>
                <w:b/>
                <w:bCs/>
                <w:color w:val="000000"/>
                <w:sz w:val="18"/>
                <w:szCs w:val="18"/>
                <w:lang w:eastAsia="it-IT"/>
              </w:rPr>
            </w:pPr>
          </w:p>
        </w:tc>
        <w:tc>
          <w:tcPr>
            <w:tcW w:w="1633" w:type="pct"/>
            <w:vMerge/>
            <w:tcBorders>
              <w:top w:val="nil"/>
              <w:left w:val="single" w:sz="8" w:space="0" w:color="666666"/>
              <w:bottom w:val="single" w:sz="8" w:space="0" w:color="666666"/>
              <w:right w:val="single" w:sz="8" w:space="0" w:color="666666"/>
            </w:tcBorders>
            <w:vAlign w:val="center"/>
            <w:hideMark/>
          </w:tcPr>
          <w:p w14:paraId="5F0F45ED" w14:textId="77777777" w:rsidR="00ED0CAE" w:rsidRPr="00ED0CAE" w:rsidRDefault="00ED0CAE" w:rsidP="00ED0CAE">
            <w:pPr>
              <w:spacing w:before="0" w:after="0" w:line="240" w:lineRule="auto"/>
              <w:rPr>
                <w:rFonts w:ascii="Calibri" w:eastAsia="Times New Roman" w:hAnsi="Calibri" w:cs="Calibri"/>
                <w:color w:val="000000"/>
                <w:sz w:val="18"/>
                <w:szCs w:val="18"/>
                <w:lang w:eastAsia="it-IT"/>
              </w:rPr>
            </w:pPr>
          </w:p>
        </w:tc>
        <w:tc>
          <w:tcPr>
            <w:tcW w:w="1846" w:type="pct"/>
            <w:tcBorders>
              <w:top w:val="nil"/>
              <w:left w:val="nil"/>
              <w:bottom w:val="single" w:sz="8" w:space="0" w:color="666666"/>
              <w:right w:val="nil"/>
            </w:tcBorders>
            <w:shd w:val="clear" w:color="000000" w:fill="CCCCCC"/>
            <w:vAlign w:val="center"/>
            <w:hideMark/>
          </w:tcPr>
          <w:p w14:paraId="67FA6CC3"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Bassa:</w:t>
            </w:r>
            <w:r w:rsidRPr="00ED0CAE">
              <w:rPr>
                <w:rFonts w:ascii="Calibri" w:eastAsia="Times New Roman" w:hAnsi="Calibri" w:cs="Calibri"/>
                <w:sz w:val="18"/>
                <w:szCs w:val="18"/>
                <w:lang w:eastAsia="it-IT"/>
              </w:rPr>
              <w:t xml:space="preserve"> la formazione è risultata non efficace o non è ancora stata avviata</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0D2B629D"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t>22,5</w:t>
            </w:r>
          </w:p>
        </w:tc>
      </w:tr>
      <w:tr w:rsidR="00ED0CAE" w:rsidRPr="00ED0CAE" w14:paraId="10F0C054" w14:textId="77777777" w:rsidTr="00ED0CAE">
        <w:trPr>
          <w:trHeight w:val="960"/>
        </w:trPr>
        <w:tc>
          <w:tcPr>
            <w:tcW w:w="1213" w:type="pct"/>
            <w:vMerge w:val="restart"/>
            <w:tcBorders>
              <w:top w:val="single" w:sz="8" w:space="0" w:color="000000"/>
              <w:left w:val="single" w:sz="8" w:space="0" w:color="666666"/>
              <w:bottom w:val="single" w:sz="8" w:space="0" w:color="666666"/>
              <w:right w:val="single" w:sz="8" w:space="0" w:color="666666"/>
            </w:tcBorders>
            <w:shd w:val="clear" w:color="000000" w:fill="FFFFFF"/>
            <w:vAlign w:val="center"/>
            <w:hideMark/>
          </w:tcPr>
          <w:p w14:paraId="54E7D068" w14:textId="77777777" w:rsidR="00ED0CAE" w:rsidRPr="00ED0CAE" w:rsidRDefault="00ED0CAE" w:rsidP="00ED0CAE">
            <w:pPr>
              <w:spacing w:before="0" w:after="0" w:line="240" w:lineRule="auto"/>
              <w:jc w:val="both"/>
              <w:rPr>
                <w:rFonts w:ascii="Calibri" w:eastAsia="Times New Roman" w:hAnsi="Calibri" w:cs="Calibri"/>
                <w:b/>
                <w:bCs/>
                <w:color w:val="000000"/>
                <w:sz w:val="18"/>
                <w:szCs w:val="18"/>
                <w:lang w:eastAsia="it-IT"/>
              </w:rPr>
            </w:pPr>
            <w:r w:rsidRPr="00ED0CAE">
              <w:rPr>
                <w:rFonts w:ascii="Calibri" w:eastAsia="Times New Roman" w:hAnsi="Calibri" w:cs="Calibri"/>
                <w:b/>
                <w:bCs/>
                <w:color w:val="000000"/>
                <w:sz w:val="18"/>
                <w:szCs w:val="18"/>
                <w:lang w:eastAsia="it-IT"/>
              </w:rPr>
              <w:t>Canali di comunicazione/segnalazione interna</w:t>
            </w:r>
          </w:p>
        </w:tc>
        <w:tc>
          <w:tcPr>
            <w:tcW w:w="1633" w:type="pct"/>
            <w:vMerge w:val="restart"/>
            <w:tcBorders>
              <w:top w:val="single" w:sz="8" w:space="0" w:color="000000"/>
              <w:left w:val="single" w:sz="8" w:space="0" w:color="666666"/>
              <w:bottom w:val="single" w:sz="8" w:space="0" w:color="666666"/>
              <w:right w:val="single" w:sz="8" w:space="0" w:color="666666"/>
            </w:tcBorders>
            <w:shd w:val="clear" w:color="000000" w:fill="FFFFFF"/>
            <w:vAlign w:val="center"/>
            <w:hideMark/>
          </w:tcPr>
          <w:p w14:paraId="5C330AEF" w14:textId="77777777" w:rsidR="00ED0CAE" w:rsidRPr="00ED0CAE" w:rsidRDefault="00ED0CAE" w:rsidP="00ED0CAE">
            <w:pPr>
              <w:spacing w:before="0" w:after="0" w:line="240" w:lineRule="auto"/>
              <w:jc w:val="both"/>
              <w:rPr>
                <w:rFonts w:ascii="Calibri" w:eastAsia="Times New Roman" w:hAnsi="Calibri" w:cs="Calibri"/>
                <w:color w:val="000000"/>
                <w:sz w:val="18"/>
                <w:szCs w:val="18"/>
                <w:lang w:eastAsia="it-IT"/>
              </w:rPr>
            </w:pPr>
            <w:r w:rsidRPr="00ED0CAE">
              <w:rPr>
                <w:rFonts w:ascii="Calibri" w:eastAsia="Times New Roman" w:hAnsi="Calibri" w:cs="Calibri"/>
                <w:color w:val="000000"/>
                <w:sz w:val="18"/>
                <w:szCs w:val="18"/>
                <w:lang w:eastAsia="it-IT"/>
              </w:rPr>
              <w:t>La valutazione va effettuata tenendo conto del grado di efficacia della comunicazione interna nel supportare i processi decisionali in merito a operazioni dubbie/sospette e a informazioni rilevanti ottenute durante la nomale operatività</w:t>
            </w:r>
          </w:p>
        </w:tc>
        <w:tc>
          <w:tcPr>
            <w:tcW w:w="1846" w:type="pct"/>
            <w:tcBorders>
              <w:top w:val="nil"/>
              <w:left w:val="nil"/>
              <w:bottom w:val="nil"/>
              <w:right w:val="nil"/>
            </w:tcBorders>
            <w:shd w:val="clear" w:color="000000" w:fill="FFFFFF"/>
            <w:vAlign w:val="center"/>
            <w:hideMark/>
          </w:tcPr>
          <w:p w14:paraId="2D3754E8"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Alta:</w:t>
            </w:r>
            <w:r w:rsidRPr="00ED0CAE">
              <w:rPr>
                <w:rFonts w:ascii="Calibri" w:eastAsia="Times New Roman" w:hAnsi="Calibri" w:cs="Calibri"/>
                <w:sz w:val="18"/>
                <w:szCs w:val="18"/>
                <w:lang w:eastAsia="it-IT"/>
              </w:rPr>
              <w:t xml:space="preserve"> i canali di comunicazione hanno un'ottima efficacia (i casi comunicati nell'ultimo anno sono in numero elevato e coerenti con le possibilità di trattamento delle comunicazioni stesse) e influiscono in modo significativo sulle decisioni da prendere in termini di comunicazioni/segnalazioni</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3EC11934"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t>3,5</w:t>
            </w:r>
          </w:p>
        </w:tc>
      </w:tr>
      <w:tr w:rsidR="00ED0CAE" w:rsidRPr="00ED0CAE" w14:paraId="5E2784A7" w14:textId="77777777" w:rsidTr="00ED0CAE">
        <w:trPr>
          <w:trHeight w:val="960"/>
        </w:trPr>
        <w:tc>
          <w:tcPr>
            <w:tcW w:w="1213" w:type="pct"/>
            <w:vMerge/>
            <w:tcBorders>
              <w:top w:val="single" w:sz="8" w:space="0" w:color="000000"/>
              <w:left w:val="single" w:sz="8" w:space="0" w:color="666666"/>
              <w:bottom w:val="single" w:sz="8" w:space="0" w:color="666666"/>
              <w:right w:val="single" w:sz="8" w:space="0" w:color="666666"/>
            </w:tcBorders>
            <w:vAlign w:val="center"/>
            <w:hideMark/>
          </w:tcPr>
          <w:p w14:paraId="7F0F0139" w14:textId="77777777" w:rsidR="00ED0CAE" w:rsidRPr="00ED0CAE" w:rsidRDefault="00ED0CAE" w:rsidP="00ED0CAE">
            <w:pPr>
              <w:spacing w:before="0" w:after="0" w:line="240" w:lineRule="auto"/>
              <w:rPr>
                <w:rFonts w:ascii="Calibri" w:eastAsia="Times New Roman" w:hAnsi="Calibri" w:cs="Calibri"/>
                <w:b/>
                <w:bCs/>
                <w:color w:val="000000"/>
                <w:sz w:val="18"/>
                <w:szCs w:val="18"/>
                <w:lang w:eastAsia="it-IT"/>
              </w:rPr>
            </w:pPr>
          </w:p>
        </w:tc>
        <w:tc>
          <w:tcPr>
            <w:tcW w:w="1633" w:type="pct"/>
            <w:vMerge/>
            <w:tcBorders>
              <w:top w:val="single" w:sz="8" w:space="0" w:color="000000"/>
              <w:left w:val="single" w:sz="8" w:space="0" w:color="666666"/>
              <w:bottom w:val="single" w:sz="8" w:space="0" w:color="666666"/>
              <w:right w:val="single" w:sz="8" w:space="0" w:color="666666"/>
            </w:tcBorders>
            <w:vAlign w:val="center"/>
            <w:hideMark/>
          </w:tcPr>
          <w:p w14:paraId="7DAED613" w14:textId="77777777" w:rsidR="00ED0CAE" w:rsidRPr="00ED0CAE" w:rsidRDefault="00ED0CAE" w:rsidP="00ED0CAE">
            <w:pPr>
              <w:spacing w:before="0" w:after="0" w:line="240" w:lineRule="auto"/>
              <w:rPr>
                <w:rFonts w:ascii="Calibri" w:eastAsia="Times New Roman" w:hAnsi="Calibri" w:cs="Calibri"/>
                <w:color w:val="000000"/>
                <w:sz w:val="18"/>
                <w:szCs w:val="18"/>
                <w:lang w:eastAsia="it-IT"/>
              </w:rPr>
            </w:pPr>
          </w:p>
        </w:tc>
        <w:tc>
          <w:tcPr>
            <w:tcW w:w="1846" w:type="pct"/>
            <w:tcBorders>
              <w:top w:val="nil"/>
              <w:left w:val="nil"/>
              <w:bottom w:val="nil"/>
              <w:right w:val="nil"/>
            </w:tcBorders>
            <w:shd w:val="clear" w:color="000000" w:fill="FFFFFF"/>
            <w:vAlign w:val="center"/>
            <w:hideMark/>
          </w:tcPr>
          <w:p w14:paraId="3757862C"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Medio-Alta:</w:t>
            </w:r>
            <w:r w:rsidRPr="00ED0CAE">
              <w:rPr>
                <w:rFonts w:ascii="Calibri" w:eastAsia="Times New Roman" w:hAnsi="Calibri" w:cs="Calibri"/>
                <w:sz w:val="18"/>
                <w:szCs w:val="18"/>
                <w:lang w:eastAsia="it-IT"/>
              </w:rPr>
              <w:t xml:space="preserve"> i canali di comunicazione implementati hanno una buona efficacia (i casi comunicati nell'ultimo anno sono in numero abbastanza elevato e coerenti con le </w:t>
            </w:r>
            <w:r w:rsidRPr="00ED0CAE">
              <w:rPr>
                <w:rFonts w:ascii="Calibri" w:eastAsia="Times New Roman" w:hAnsi="Calibri" w:cs="Calibri"/>
                <w:sz w:val="18"/>
                <w:szCs w:val="18"/>
                <w:lang w:eastAsia="it-IT"/>
              </w:rPr>
              <w:lastRenderedPageBreak/>
              <w:t>possibilità di trattamento delle comunicazioni stesse) e influiscono positivamente sui processi decisionali</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33C315C9"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lastRenderedPageBreak/>
              <w:t>7,5</w:t>
            </w:r>
          </w:p>
        </w:tc>
      </w:tr>
      <w:tr w:rsidR="00ED0CAE" w:rsidRPr="00ED0CAE" w14:paraId="037EFF28" w14:textId="77777777" w:rsidTr="00ED0CAE">
        <w:trPr>
          <w:trHeight w:val="720"/>
        </w:trPr>
        <w:tc>
          <w:tcPr>
            <w:tcW w:w="1213" w:type="pct"/>
            <w:vMerge/>
            <w:tcBorders>
              <w:top w:val="single" w:sz="8" w:space="0" w:color="000000"/>
              <w:left w:val="single" w:sz="8" w:space="0" w:color="666666"/>
              <w:bottom w:val="single" w:sz="8" w:space="0" w:color="666666"/>
              <w:right w:val="single" w:sz="8" w:space="0" w:color="666666"/>
            </w:tcBorders>
            <w:vAlign w:val="center"/>
            <w:hideMark/>
          </w:tcPr>
          <w:p w14:paraId="2D18E332" w14:textId="77777777" w:rsidR="00ED0CAE" w:rsidRPr="00ED0CAE" w:rsidRDefault="00ED0CAE" w:rsidP="00ED0CAE">
            <w:pPr>
              <w:spacing w:before="0" w:after="0" w:line="240" w:lineRule="auto"/>
              <w:rPr>
                <w:rFonts w:ascii="Calibri" w:eastAsia="Times New Roman" w:hAnsi="Calibri" w:cs="Calibri"/>
                <w:b/>
                <w:bCs/>
                <w:color w:val="000000"/>
                <w:sz w:val="18"/>
                <w:szCs w:val="18"/>
                <w:lang w:eastAsia="it-IT"/>
              </w:rPr>
            </w:pPr>
          </w:p>
        </w:tc>
        <w:tc>
          <w:tcPr>
            <w:tcW w:w="1633" w:type="pct"/>
            <w:vMerge/>
            <w:tcBorders>
              <w:top w:val="single" w:sz="8" w:space="0" w:color="000000"/>
              <w:left w:val="single" w:sz="8" w:space="0" w:color="666666"/>
              <w:bottom w:val="single" w:sz="8" w:space="0" w:color="666666"/>
              <w:right w:val="single" w:sz="8" w:space="0" w:color="666666"/>
            </w:tcBorders>
            <w:vAlign w:val="center"/>
            <w:hideMark/>
          </w:tcPr>
          <w:p w14:paraId="2ED0B78D" w14:textId="77777777" w:rsidR="00ED0CAE" w:rsidRPr="00ED0CAE" w:rsidRDefault="00ED0CAE" w:rsidP="00ED0CAE">
            <w:pPr>
              <w:spacing w:before="0" w:after="0" w:line="240" w:lineRule="auto"/>
              <w:rPr>
                <w:rFonts w:ascii="Calibri" w:eastAsia="Times New Roman" w:hAnsi="Calibri" w:cs="Calibri"/>
                <w:color w:val="000000"/>
                <w:sz w:val="18"/>
                <w:szCs w:val="18"/>
                <w:lang w:eastAsia="it-IT"/>
              </w:rPr>
            </w:pPr>
          </w:p>
        </w:tc>
        <w:tc>
          <w:tcPr>
            <w:tcW w:w="1846" w:type="pct"/>
            <w:tcBorders>
              <w:top w:val="nil"/>
              <w:left w:val="nil"/>
              <w:bottom w:val="nil"/>
              <w:right w:val="nil"/>
            </w:tcBorders>
            <w:shd w:val="clear" w:color="000000" w:fill="FFFFFF"/>
            <w:vAlign w:val="center"/>
            <w:hideMark/>
          </w:tcPr>
          <w:p w14:paraId="181E7384"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Media:</w:t>
            </w:r>
            <w:r w:rsidRPr="00ED0CAE">
              <w:rPr>
                <w:rFonts w:ascii="Calibri" w:eastAsia="Times New Roman" w:hAnsi="Calibri" w:cs="Calibri"/>
                <w:sz w:val="18"/>
                <w:szCs w:val="18"/>
                <w:lang w:eastAsia="it-IT"/>
              </w:rPr>
              <w:t xml:space="preserve"> i canali di comunicazione sono mediamente efficaci (i casi comunicati nell'ultimo anno sono alcuni e abbastanza coerenti con le possibilità di trattamento delle comunicazioni stesse)</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634259E1"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t>12,5</w:t>
            </w:r>
          </w:p>
        </w:tc>
      </w:tr>
      <w:tr w:rsidR="00ED0CAE" w:rsidRPr="00ED0CAE" w14:paraId="5AC9D555" w14:textId="77777777" w:rsidTr="00ED0CAE">
        <w:trPr>
          <w:trHeight w:val="960"/>
        </w:trPr>
        <w:tc>
          <w:tcPr>
            <w:tcW w:w="1213" w:type="pct"/>
            <w:vMerge/>
            <w:tcBorders>
              <w:top w:val="single" w:sz="8" w:space="0" w:color="000000"/>
              <w:left w:val="single" w:sz="8" w:space="0" w:color="666666"/>
              <w:bottom w:val="single" w:sz="8" w:space="0" w:color="666666"/>
              <w:right w:val="single" w:sz="8" w:space="0" w:color="666666"/>
            </w:tcBorders>
            <w:vAlign w:val="center"/>
            <w:hideMark/>
          </w:tcPr>
          <w:p w14:paraId="3A0F6305" w14:textId="77777777" w:rsidR="00ED0CAE" w:rsidRPr="00ED0CAE" w:rsidRDefault="00ED0CAE" w:rsidP="00ED0CAE">
            <w:pPr>
              <w:spacing w:before="0" w:after="0" w:line="240" w:lineRule="auto"/>
              <w:rPr>
                <w:rFonts w:ascii="Calibri" w:eastAsia="Times New Roman" w:hAnsi="Calibri" w:cs="Calibri"/>
                <w:b/>
                <w:bCs/>
                <w:color w:val="000000"/>
                <w:sz w:val="18"/>
                <w:szCs w:val="18"/>
                <w:lang w:eastAsia="it-IT"/>
              </w:rPr>
            </w:pPr>
          </w:p>
        </w:tc>
        <w:tc>
          <w:tcPr>
            <w:tcW w:w="1633" w:type="pct"/>
            <w:vMerge/>
            <w:tcBorders>
              <w:top w:val="single" w:sz="8" w:space="0" w:color="000000"/>
              <w:left w:val="single" w:sz="8" w:space="0" w:color="666666"/>
              <w:bottom w:val="single" w:sz="8" w:space="0" w:color="666666"/>
              <w:right w:val="single" w:sz="8" w:space="0" w:color="666666"/>
            </w:tcBorders>
            <w:vAlign w:val="center"/>
            <w:hideMark/>
          </w:tcPr>
          <w:p w14:paraId="7B568736" w14:textId="77777777" w:rsidR="00ED0CAE" w:rsidRPr="00ED0CAE" w:rsidRDefault="00ED0CAE" w:rsidP="00ED0CAE">
            <w:pPr>
              <w:spacing w:before="0" w:after="0" w:line="240" w:lineRule="auto"/>
              <w:rPr>
                <w:rFonts w:ascii="Calibri" w:eastAsia="Times New Roman" w:hAnsi="Calibri" w:cs="Calibri"/>
                <w:color w:val="000000"/>
                <w:sz w:val="18"/>
                <w:szCs w:val="18"/>
                <w:lang w:eastAsia="it-IT"/>
              </w:rPr>
            </w:pPr>
          </w:p>
        </w:tc>
        <w:tc>
          <w:tcPr>
            <w:tcW w:w="1846" w:type="pct"/>
            <w:tcBorders>
              <w:top w:val="nil"/>
              <w:left w:val="nil"/>
              <w:bottom w:val="nil"/>
              <w:right w:val="nil"/>
            </w:tcBorders>
            <w:shd w:val="clear" w:color="000000" w:fill="FFFFFF"/>
            <w:vAlign w:val="center"/>
            <w:hideMark/>
          </w:tcPr>
          <w:p w14:paraId="418E1F00"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Medio-Bassa:</w:t>
            </w:r>
            <w:r w:rsidRPr="00ED0CAE">
              <w:rPr>
                <w:rFonts w:ascii="Calibri" w:eastAsia="Times New Roman" w:hAnsi="Calibri" w:cs="Calibri"/>
                <w:sz w:val="18"/>
                <w:szCs w:val="18"/>
                <w:lang w:eastAsia="it-IT"/>
              </w:rPr>
              <w:t xml:space="preserve"> i canali di comunicazione sono scarsamente efficaci (i casi comunicati nell'ultimo anno sono pochi e non sempre coerenti con le possibilità di trattamento delle comunicazioni stesse) e non influiscono in maniera significativa sui processi decisionali legati a possibili comunicazioni interne e verso UIF</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04480A8F"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t>17,5</w:t>
            </w:r>
          </w:p>
        </w:tc>
      </w:tr>
      <w:tr w:rsidR="00ED0CAE" w:rsidRPr="00ED0CAE" w14:paraId="2E3B4380" w14:textId="77777777" w:rsidTr="00ED0CAE">
        <w:trPr>
          <w:trHeight w:val="735"/>
        </w:trPr>
        <w:tc>
          <w:tcPr>
            <w:tcW w:w="1213" w:type="pct"/>
            <w:vMerge/>
            <w:tcBorders>
              <w:top w:val="single" w:sz="8" w:space="0" w:color="000000"/>
              <w:left w:val="single" w:sz="8" w:space="0" w:color="666666"/>
              <w:bottom w:val="single" w:sz="8" w:space="0" w:color="666666"/>
              <w:right w:val="single" w:sz="8" w:space="0" w:color="666666"/>
            </w:tcBorders>
            <w:vAlign w:val="center"/>
            <w:hideMark/>
          </w:tcPr>
          <w:p w14:paraId="0C09FF5D" w14:textId="77777777" w:rsidR="00ED0CAE" w:rsidRPr="00ED0CAE" w:rsidRDefault="00ED0CAE" w:rsidP="00ED0CAE">
            <w:pPr>
              <w:spacing w:before="0" w:after="0" w:line="240" w:lineRule="auto"/>
              <w:rPr>
                <w:rFonts w:ascii="Calibri" w:eastAsia="Times New Roman" w:hAnsi="Calibri" w:cs="Calibri"/>
                <w:b/>
                <w:bCs/>
                <w:color w:val="000000"/>
                <w:sz w:val="18"/>
                <w:szCs w:val="18"/>
                <w:lang w:eastAsia="it-IT"/>
              </w:rPr>
            </w:pPr>
          </w:p>
        </w:tc>
        <w:tc>
          <w:tcPr>
            <w:tcW w:w="1633" w:type="pct"/>
            <w:vMerge/>
            <w:tcBorders>
              <w:top w:val="single" w:sz="8" w:space="0" w:color="000000"/>
              <w:left w:val="single" w:sz="8" w:space="0" w:color="666666"/>
              <w:bottom w:val="single" w:sz="8" w:space="0" w:color="666666"/>
              <w:right w:val="single" w:sz="8" w:space="0" w:color="666666"/>
            </w:tcBorders>
            <w:vAlign w:val="center"/>
            <w:hideMark/>
          </w:tcPr>
          <w:p w14:paraId="76965252" w14:textId="77777777" w:rsidR="00ED0CAE" w:rsidRPr="00ED0CAE" w:rsidRDefault="00ED0CAE" w:rsidP="00ED0CAE">
            <w:pPr>
              <w:spacing w:before="0" w:after="0" w:line="240" w:lineRule="auto"/>
              <w:rPr>
                <w:rFonts w:ascii="Calibri" w:eastAsia="Times New Roman" w:hAnsi="Calibri" w:cs="Calibri"/>
                <w:color w:val="000000"/>
                <w:sz w:val="18"/>
                <w:szCs w:val="18"/>
                <w:lang w:eastAsia="it-IT"/>
              </w:rPr>
            </w:pPr>
          </w:p>
        </w:tc>
        <w:tc>
          <w:tcPr>
            <w:tcW w:w="1846" w:type="pct"/>
            <w:tcBorders>
              <w:top w:val="nil"/>
              <w:left w:val="nil"/>
              <w:bottom w:val="single" w:sz="8" w:space="0" w:color="666666"/>
              <w:right w:val="nil"/>
            </w:tcBorders>
            <w:shd w:val="clear" w:color="000000" w:fill="FFFFFF"/>
            <w:vAlign w:val="center"/>
            <w:hideMark/>
          </w:tcPr>
          <w:p w14:paraId="7FE11530"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 xml:space="preserve">Bassa: </w:t>
            </w:r>
            <w:r w:rsidRPr="00ED0CAE">
              <w:rPr>
                <w:rFonts w:ascii="Calibri" w:eastAsia="Times New Roman" w:hAnsi="Calibri" w:cs="Calibri"/>
                <w:sz w:val="18"/>
                <w:szCs w:val="18"/>
                <w:lang w:eastAsia="it-IT"/>
              </w:rPr>
              <w:t>i canali di comunicazione attualmente presenti non risultano efficaci (i casi comunicati nell'ultimo anno sono pochi o nulli e non sempre coerenti con le possibilità di trattamento delle comunicazioni stesse) o non sono ancora stati implementati</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78F6C6F3"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t>22,5</w:t>
            </w:r>
          </w:p>
        </w:tc>
      </w:tr>
      <w:tr w:rsidR="00ED0CAE" w:rsidRPr="00ED0CAE" w14:paraId="74A8DC70" w14:textId="77777777" w:rsidTr="00ED0CAE">
        <w:trPr>
          <w:trHeight w:val="720"/>
        </w:trPr>
        <w:tc>
          <w:tcPr>
            <w:tcW w:w="1213" w:type="pct"/>
            <w:vMerge w:val="restart"/>
            <w:tcBorders>
              <w:top w:val="single" w:sz="8" w:space="0" w:color="000000"/>
              <w:left w:val="single" w:sz="8" w:space="0" w:color="666666"/>
              <w:bottom w:val="single" w:sz="8" w:space="0" w:color="666666"/>
              <w:right w:val="single" w:sz="8" w:space="0" w:color="666666"/>
            </w:tcBorders>
            <w:shd w:val="clear" w:color="000000" w:fill="CCCCCC"/>
            <w:vAlign w:val="center"/>
            <w:hideMark/>
          </w:tcPr>
          <w:p w14:paraId="32995CA5" w14:textId="77777777" w:rsidR="00ED0CAE" w:rsidRPr="00ED0CAE" w:rsidRDefault="00ED0CAE" w:rsidP="00ED0CAE">
            <w:pPr>
              <w:spacing w:before="0" w:after="0" w:line="240" w:lineRule="auto"/>
              <w:jc w:val="both"/>
              <w:rPr>
                <w:rFonts w:ascii="Calibri" w:eastAsia="Times New Roman" w:hAnsi="Calibri" w:cs="Calibri"/>
                <w:b/>
                <w:bCs/>
                <w:color w:val="000000"/>
                <w:sz w:val="18"/>
                <w:szCs w:val="18"/>
                <w:lang w:eastAsia="it-IT"/>
              </w:rPr>
            </w:pPr>
            <w:r w:rsidRPr="00ED0CAE">
              <w:rPr>
                <w:rFonts w:ascii="Calibri" w:eastAsia="Times New Roman" w:hAnsi="Calibri" w:cs="Calibri"/>
                <w:b/>
                <w:bCs/>
                <w:color w:val="000000"/>
                <w:sz w:val="18"/>
                <w:szCs w:val="18"/>
                <w:lang w:eastAsia="it-IT"/>
              </w:rPr>
              <w:t>Controlli attualmente presenti</w:t>
            </w:r>
          </w:p>
        </w:tc>
        <w:tc>
          <w:tcPr>
            <w:tcW w:w="1633" w:type="pct"/>
            <w:vMerge w:val="restart"/>
            <w:tcBorders>
              <w:top w:val="single" w:sz="8" w:space="0" w:color="000000"/>
              <w:left w:val="single" w:sz="8" w:space="0" w:color="666666"/>
              <w:bottom w:val="single" w:sz="8" w:space="0" w:color="666666"/>
              <w:right w:val="single" w:sz="8" w:space="0" w:color="666666"/>
            </w:tcBorders>
            <w:shd w:val="clear" w:color="000000" w:fill="CCCCCC"/>
            <w:vAlign w:val="center"/>
            <w:hideMark/>
          </w:tcPr>
          <w:p w14:paraId="4083E2EF" w14:textId="77777777" w:rsidR="00ED0CAE" w:rsidRPr="00ED0CAE" w:rsidRDefault="00ED0CAE" w:rsidP="00ED0CAE">
            <w:pPr>
              <w:spacing w:before="0" w:after="0" w:line="240" w:lineRule="auto"/>
              <w:jc w:val="both"/>
              <w:rPr>
                <w:rFonts w:ascii="Calibri" w:eastAsia="Times New Roman" w:hAnsi="Calibri" w:cs="Calibri"/>
                <w:color w:val="000000"/>
                <w:sz w:val="18"/>
                <w:szCs w:val="18"/>
                <w:lang w:eastAsia="it-IT"/>
              </w:rPr>
            </w:pPr>
            <w:r w:rsidRPr="00ED0CAE">
              <w:rPr>
                <w:rFonts w:ascii="Calibri" w:eastAsia="Times New Roman" w:hAnsi="Calibri" w:cs="Calibri"/>
                <w:color w:val="000000"/>
                <w:sz w:val="18"/>
                <w:szCs w:val="18"/>
                <w:lang w:eastAsia="it-IT"/>
              </w:rPr>
              <w:t>La valutazione va effettuata pensando all'efficacia dei controlli attualmente presenti sia dal punto di vista della mitigazione del rischio, sia dal punto di vista della capacità di evidenziare possibili sospetti in merito a determinate operazioni/processi</w:t>
            </w:r>
          </w:p>
        </w:tc>
        <w:tc>
          <w:tcPr>
            <w:tcW w:w="1846" w:type="pct"/>
            <w:tcBorders>
              <w:top w:val="nil"/>
              <w:left w:val="nil"/>
              <w:bottom w:val="nil"/>
              <w:right w:val="nil"/>
            </w:tcBorders>
            <w:shd w:val="clear" w:color="000000" w:fill="CCCCCC"/>
            <w:vAlign w:val="center"/>
            <w:hideMark/>
          </w:tcPr>
          <w:p w14:paraId="1EA5BF1F"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Alta:</w:t>
            </w:r>
            <w:r w:rsidRPr="00ED0CAE">
              <w:rPr>
                <w:rFonts w:ascii="Calibri" w:eastAsia="Times New Roman" w:hAnsi="Calibri" w:cs="Calibri"/>
                <w:sz w:val="18"/>
                <w:szCs w:val="18"/>
                <w:lang w:eastAsia="it-IT"/>
              </w:rPr>
              <w:t xml:space="preserve"> i controlli hanno un'ottima efficacia e influiscono in modo significativo sulla percezione del rischio da parte degli operatori, in alcuni casi portandoli a proporre nuovi indicatori di anomalia e/o nuove misure da applicare</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57A1C900"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t>3,5</w:t>
            </w:r>
          </w:p>
        </w:tc>
      </w:tr>
      <w:tr w:rsidR="00ED0CAE" w:rsidRPr="00ED0CAE" w14:paraId="684A6972" w14:textId="77777777" w:rsidTr="00ED0CAE">
        <w:trPr>
          <w:trHeight w:val="480"/>
        </w:trPr>
        <w:tc>
          <w:tcPr>
            <w:tcW w:w="1213" w:type="pct"/>
            <w:vMerge/>
            <w:tcBorders>
              <w:top w:val="single" w:sz="8" w:space="0" w:color="000000"/>
              <w:left w:val="single" w:sz="8" w:space="0" w:color="666666"/>
              <w:bottom w:val="single" w:sz="8" w:space="0" w:color="666666"/>
              <w:right w:val="single" w:sz="8" w:space="0" w:color="666666"/>
            </w:tcBorders>
            <w:vAlign w:val="center"/>
            <w:hideMark/>
          </w:tcPr>
          <w:p w14:paraId="0D1DB3EB" w14:textId="77777777" w:rsidR="00ED0CAE" w:rsidRPr="00ED0CAE" w:rsidRDefault="00ED0CAE" w:rsidP="00ED0CAE">
            <w:pPr>
              <w:spacing w:before="0" w:after="0" w:line="240" w:lineRule="auto"/>
              <w:rPr>
                <w:rFonts w:ascii="Calibri" w:eastAsia="Times New Roman" w:hAnsi="Calibri" w:cs="Calibri"/>
                <w:b/>
                <w:bCs/>
                <w:color w:val="000000"/>
                <w:sz w:val="18"/>
                <w:szCs w:val="18"/>
                <w:lang w:eastAsia="it-IT"/>
              </w:rPr>
            </w:pPr>
          </w:p>
        </w:tc>
        <w:tc>
          <w:tcPr>
            <w:tcW w:w="1633" w:type="pct"/>
            <w:vMerge/>
            <w:tcBorders>
              <w:top w:val="single" w:sz="8" w:space="0" w:color="000000"/>
              <w:left w:val="single" w:sz="8" w:space="0" w:color="666666"/>
              <w:bottom w:val="single" w:sz="8" w:space="0" w:color="666666"/>
              <w:right w:val="single" w:sz="8" w:space="0" w:color="666666"/>
            </w:tcBorders>
            <w:vAlign w:val="center"/>
            <w:hideMark/>
          </w:tcPr>
          <w:p w14:paraId="478C0255" w14:textId="77777777" w:rsidR="00ED0CAE" w:rsidRPr="00ED0CAE" w:rsidRDefault="00ED0CAE" w:rsidP="00ED0CAE">
            <w:pPr>
              <w:spacing w:before="0" w:after="0" w:line="240" w:lineRule="auto"/>
              <w:rPr>
                <w:rFonts w:ascii="Calibri" w:eastAsia="Times New Roman" w:hAnsi="Calibri" w:cs="Calibri"/>
                <w:color w:val="000000"/>
                <w:sz w:val="18"/>
                <w:szCs w:val="18"/>
                <w:lang w:eastAsia="it-IT"/>
              </w:rPr>
            </w:pPr>
          </w:p>
        </w:tc>
        <w:tc>
          <w:tcPr>
            <w:tcW w:w="1846" w:type="pct"/>
            <w:tcBorders>
              <w:top w:val="nil"/>
              <w:left w:val="nil"/>
              <w:bottom w:val="nil"/>
              <w:right w:val="nil"/>
            </w:tcBorders>
            <w:shd w:val="clear" w:color="000000" w:fill="CCCCCC"/>
            <w:vAlign w:val="center"/>
            <w:hideMark/>
          </w:tcPr>
          <w:p w14:paraId="6142470D"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Medio-Alta:</w:t>
            </w:r>
            <w:r w:rsidRPr="00ED0CAE">
              <w:rPr>
                <w:rFonts w:ascii="Calibri" w:eastAsia="Times New Roman" w:hAnsi="Calibri" w:cs="Calibri"/>
                <w:sz w:val="18"/>
                <w:szCs w:val="18"/>
                <w:lang w:eastAsia="it-IT"/>
              </w:rPr>
              <w:t xml:space="preserve"> i controlli hanno una buona efficacia e influiscono in modo buono sulla percezione del rischio da parte degli operatori</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46ACA533"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t>7,5</w:t>
            </w:r>
          </w:p>
        </w:tc>
      </w:tr>
      <w:tr w:rsidR="00ED0CAE" w:rsidRPr="00ED0CAE" w14:paraId="4C63716B" w14:textId="77777777" w:rsidTr="00ED0CAE">
        <w:trPr>
          <w:trHeight w:val="480"/>
        </w:trPr>
        <w:tc>
          <w:tcPr>
            <w:tcW w:w="1213" w:type="pct"/>
            <w:vMerge/>
            <w:tcBorders>
              <w:top w:val="single" w:sz="8" w:space="0" w:color="000000"/>
              <w:left w:val="single" w:sz="8" w:space="0" w:color="666666"/>
              <w:bottom w:val="single" w:sz="8" w:space="0" w:color="666666"/>
              <w:right w:val="single" w:sz="8" w:space="0" w:color="666666"/>
            </w:tcBorders>
            <w:vAlign w:val="center"/>
            <w:hideMark/>
          </w:tcPr>
          <w:p w14:paraId="09BC250A" w14:textId="77777777" w:rsidR="00ED0CAE" w:rsidRPr="00ED0CAE" w:rsidRDefault="00ED0CAE" w:rsidP="00ED0CAE">
            <w:pPr>
              <w:spacing w:before="0" w:after="0" w:line="240" w:lineRule="auto"/>
              <w:rPr>
                <w:rFonts w:ascii="Calibri" w:eastAsia="Times New Roman" w:hAnsi="Calibri" w:cs="Calibri"/>
                <w:b/>
                <w:bCs/>
                <w:color w:val="000000"/>
                <w:sz w:val="18"/>
                <w:szCs w:val="18"/>
                <w:lang w:eastAsia="it-IT"/>
              </w:rPr>
            </w:pPr>
          </w:p>
        </w:tc>
        <w:tc>
          <w:tcPr>
            <w:tcW w:w="1633" w:type="pct"/>
            <w:vMerge/>
            <w:tcBorders>
              <w:top w:val="single" w:sz="8" w:space="0" w:color="000000"/>
              <w:left w:val="single" w:sz="8" w:space="0" w:color="666666"/>
              <w:bottom w:val="single" w:sz="8" w:space="0" w:color="666666"/>
              <w:right w:val="single" w:sz="8" w:space="0" w:color="666666"/>
            </w:tcBorders>
            <w:vAlign w:val="center"/>
            <w:hideMark/>
          </w:tcPr>
          <w:p w14:paraId="11E5B652" w14:textId="77777777" w:rsidR="00ED0CAE" w:rsidRPr="00ED0CAE" w:rsidRDefault="00ED0CAE" w:rsidP="00ED0CAE">
            <w:pPr>
              <w:spacing w:before="0" w:after="0" w:line="240" w:lineRule="auto"/>
              <w:rPr>
                <w:rFonts w:ascii="Calibri" w:eastAsia="Times New Roman" w:hAnsi="Calibri" w:cs="Calibri"/>
                <w:color w:val="000000"/>
                <w:sz w:val="18"/>
                <w:szCs w:val="18"/>
                <w:lang w:eastAsia="it-IT"/>
              </w:rPr>
            </w:pPr>
          </w:p>
        </w:tc>
        <w:tc>
          <w:tcPr>
            <w:tcW w:w="1846" w:type="pct"/>
            <w:tcBorders>
              <w:top w:val="nil"/>
              <w:left w:val="nil"/>
              <w:bottom w:val="nil"/>
              <w:right w:val="nil"/>
            </w:tcBorders>
            <w:shd w:val="clear" w:color="000000" w:fill="CCCCCC"/>
            <w:vAlign w:val="center"/>
            <w:hideMark/>
          </w:tcPr>
          <w:p w14:paraId="3490186B"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Media:</w:t>
            </w:r>
            <w:r w:rsidRPr="00ED0CAE">
              <w:rPr>
                <w:rFonts w:ascii="Calibri" w:eastAsia="Times New Roman" w:hAnsi="Calibri" w:cs="Calibri"/>
                <w:sz w:val="18"/>
                <w:szCs w:val="18"/>
                <w:lang w:eastAsia="it-IT"/>
              </w:rPr>
              <w:t xml:space="preserve"> i controlli sono mediamente efficaci e influiscono in maniera sufficiente sulla percezione del rischio da parte degli operatori</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1705964B"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t>12,5</w:t>
            </w:r>
          </w:p>
        </w:tc>
      </w:tr>
      <w:tr w:rsidR="00ED0CAE" w:rsidRPr="00ED0CAE" w14:paraId="03D8BAE9" w14:textId="77777777" w:rsidTr="00ED0CAE">
        <w:trPr>
          <w:trHeight w:val="480"/>
        </w:trPr>
        <w:tc>
          <w:tcPr>
            <w:tcW w:w="1213" w:type="pct"/>
            <w:vMerge/>
            <w:tcBorders>
              <w:top w:val="single" w:sz="8" w:space="0" w:color="000000"/>
              <w:left w:val="single" w:sz="8" w:space="0" w:color="666666"/>
              <w:bottom w:val="single" w:sz="8" w:space="0" w:color="666666"/>
              <w:right w:val="single" w:sz="8" w:space="0" w:color="666666"/>
            </w:tcBorders>
            <w:vAlign w:val="center"/>
            <w:hideMark/>
          </w:tcPr>
          <w:p w14:paraId="1E02FC3A" w14:textId="77777777" w:rsidR="00ED0CAE" w:rsidRPr="00ED0CAE" w:rsidRDefault="00ED0CAE" w:rsidP="00ED0CAE">
            <w:pPr>
              <w:spacing w:before="0" w:after="0" w:line="240" w:lineRule="auto"/>
              <w:rPr>
                <w:rFonts w:ascii="Calibri" w:eastAsia="Times New Roman" w:hAnsi="Calibri" w:cs="Calibri"/>
                <w:b/>
                <w:bCs/>
                <w:color w:val="000000"/>
                <w:sz w:val="18"/>
                <w:szCs w:val="18"/>
                <w:lang w:eastAsia="it-IT"/>
              </w:rPr>
            </w:pPr>
          </w:p>
        </w:tc>
        <w:tc>
          <w:tcPr>
            <w:tcW w:w="1633" w:type="pct"/>
            <w:vMerge/>
            <w:tcBorders>
              <w:top w:val="single" w:sz="8" w:space="0" w:color="000000"/>
              <w:left w:val="single" w:sz="8" w:space="0" w:color="666666"/>
              <w:bottom w:val="single" w:sz="8" w:space="0" w:color="666666"/>
              <w:right w:val="single" w:sz="8" w:space="0" w:color="666666"/>
            </w:tcBorders>
            <w:vAlign w:val="center"/>
            <w:hideMark/>
          </w:tcPr>
          <w:p w14:paraId="7392F530" w14:textId="77777777" w:rsidR="00ED0CAE" w:rsidRPr="00ED0CAE" w:rsidRDefault="00ED0CAE" w:rsidP="00ED0CAE">
            <w:pPr>
              <w:spacing w:before="0" w:after="0" w:line="240" w:lineRule="auto"/>
              <w:rPr>
                <w:rFonts w:ascii="Calibri" w:eastAsia="Times New Roman" w:hAnsi="Calibri" w:cs="Calibri"/>
                <w:color w:val="000000"/>
                <w:sz w:val="18"/>
                <w:szCs w:val="18"/>
                <w:lang w:eastAsia="it-IT"/>
              </w:rPr>
            </w:pPr>
          </w:p>
        </w:tc>
        <w:tc>
          <w:tcPr>
            <w:tcW w:w="1846" w:type="pct"/>
            <w:tcBorders>
              <w:top w:val="nil"/>
              <w:left w:val="nil"/>
              <w:bottom w:val="nil"/>
              <w:right w:val="nil"/>
            </w:tcBorders>
            <w:shd w:val="clear" w:color="000000" w:fill="CCCCCC"/>
            <w:vAlign w:val="center"/>
            <w:hideMark/>
          </w:tcPr>
          <w:p w14:paraId="67D53483"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Medio-Bassa:</w:t>
            </w:r>
            <w:r w:rsidRPr="00ED0CAE">
              <w:rPr>
                <w:rFonts w:ascii="Calibri" w:eastAsia="Times New Roman" w:hAnsi="Calibri" w:cs="Calibri"/>
                <w:sz w:val="18"/>
                <w:szCs w:val="18"/>
                <w:lang w:eastAsia="it-IT"/>
              </w:rPr>
              <w:t xml:space="preserve"> i controlli sono scarsamente efficaci e non influiscono in maniera significativa sulla percezione degli operatori</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794C6C03"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t>17,5</w:t>
            </w:r>
          </w:p>
        </w:tc>
      </w:tr>
      <w:tr w:rsidR="00ED0CAE" w:rsidRPr="00ED0CAE" w14:paraId="20D782AD" w14:textId="77777777" w:rsidTr="00ED0CAE">
        <w:trPr>
          <w:trHeight w:val="495"/>
        </w:trPr>
        <w:tc>
          <w:tcPr>
            <w:tcW w:w="1213" w:type="pct"/>
            <w:vMerge/>
            <w:tcBorders>
              <w:top w:val="single" w:sz="8" w:space="0" w:color="000000"/>
              <w:left w:val="single" w:sz="8" w:space="0" w:color="666666"/>
              <w:bottom w:val="single" w:sz="8" w:space="0" w:color="666666"/>
              <w:right w:val="single" w:sz="8" w:space="0" w:color="666666"/>
            </w:tcBorders>
            <w:vAlign w:val="center"/>
            <w:hideMark/>
          </w:tcPr>
          <w:p w14:paraId="2C872E06" w14:textId="77777777" w:rsidR="00ED0CAE" w:rsidRPr="00ED0CAE" w:rsidRDefault="00ED0CAE" w:rsidP="00ED0CAE">
            <w:pPr>
              <w:spacing w:before="0" w:after="0" w:line="240" w:lineRule="auto"/>
              <w:rPr>
                <w:rFonts w:ascii="Calibri" w:eastAsia="Times New Roman" w:hAnsi="Calibri" w:cs="Calibri"/>
                <w:b/>
                <w:bCs/>
                <w:color w:val="000000"/>
                <w:sz w:val="18"/>
                <w:szCs w:val="18"/>
                <w:lang w:eastAsia="it-IT"/>
              </w:rPr>
            </w:pPr>
          </w:p>
        </w:tc>
        <w:tc>
          <w:tcPr>
            <w:tcW w:w="1633" w:type="pct"/>
            <w:vMerge/>
            <w:tcBorders>
              <w:top w:val="single" w:sz="8" w:space="0" w:color="000000"/>
              <w:left w:val="single" w:sz="8" w:space="0" w:color="666666"/>
              <w:bottom w:val="single" w:sz="8" w:space="0" w:color="666666"/>
              <w:right w:val="single" w:sz="8" w:space="0" w:color="666666"/>
            </w:tcBorders>
            <w:vAlign w:val="center"/>
            <w:hideMark/>
          </w:tcPr>
          <w:p w14:paraId="58FD6A8E" w14:textId="77777777" w:rsidR="00ED0CAE" w:rsidRPr="00ED0CAE" w:rsidRDefault="00ED0CAE" w:rsidP="00ED0CAE">
            <w:pPr>
              <w:spacing w:before="0" w:after="0" w:line="240" w:lineRule="auto"/>
              <w:rPr>
                <w:rFonts w:ascii="Calibri" w:eastAsia="Times New Roman" w:hAnsi="Calibri" w:cs="Calibri"/>
                <w:color w:val="000000"/>
                <w:sz w:val="18"/>
                <w:szCs w:val="18"/>
                <w:lang w:eastAsia="it-IT"/>
              </w:rPr>
            </w:pPr>
          </w:p>
        </w:tc>
        <w:tc>
          <w:tcPr>
            <w:tcW w:w="1846" w:type="pct"/>
            <w:tcBorders>
              <w:top w:val="nil"/>
              <w:left w:val="nil"/>
              <w:bottom w:val="single" w:sz="8" w:space="0" w:color="666666"/>
              <w:right w:val="nil"/>
            </w:tcBorders>
            <w:shd w:val="clear" w:color="000000" w:fill="CCCCCC"/>
            <w:vAlign w:val="center"/>
            <w:hideMark/>
          </w:tcPr>
          <w:p w14:paraId="0CEDA347" w14:textId="77777777" w:rsidR="00ED0CAE" w:rsidRPr="00ED0CAE" w:rsidRDefault="00ED0CAE" w:rsidP="00ED0CAE">
            <w:pPr>
              <w:spacing w:before="0" w:after="0" w:line="240" w:lineRule="auto"/>
              <w:jc w:val="both"/>
              <w:rPr>
                <w:rFonts w:ascii="Calibri" w:eastAsia="Times New Roman" w:hAnsi="Calibri" w:cs="Calibri"/>
                <w:b/>
                <w:bCs/>
                <w:sz w:val="18"/>
                <w:szCs w:val="18"/>
                <w:lang w:eastAsia="it-IT"/>
              </w:rPr>
            </w:pPr>
            <w:r w:rsidRPr="00ED0CAE">
              <w:rPr>
                <w:rFonts w:ascii="Calibri" w:eastAsia="Times New Roman" w:hAnsi="Calibri" w:cs="Calibri"/>
                <w:b/>
                <w:bCs/>
                <w:sz w:val="18"/>
                <w:szCs w:val="18"/>
                <w:lang w:eastAsia="it-IT"/>
              </w:rPr>
              <w:t xml:space="preserve">Bassa: </w:t>
            </w:r>
            <w:r w:rsidRPr="00ED0CAE">
              <w:rPr>
                <w:rFonts w:ascii="Calibri" w:eastAsia="Times New Roman" w:hAnsi="Calibri" w:cs="Calibri"/>
                <w:sz w:val="18"/>
                <w:szCs w:val="18"/>
                <w:lang w:eastAsia="it-IT"/>
              </w:rPr>
              <w:t>i controlli sono attualmente inefficaci rispetto ai rischi di riciclaggio e finanziamento del terrorismo</w:t>
            </w:r>
          </w:p>
        </w:tc>
        <w:tc>
          <w:tcPr>
            <w:tcW w:w="308" w:type="pct"/>
            <w:tcBorders>
              <w:top w:val="nil"/>
              <w:left w:val="single" w:sz="4" w:space="0" w:color="auto"/>
              <w:bottom w:val="single" w:sz="4" w:space="0" w:color="auto"/>
              <w:right w:val="single" w:sz="4" w:space="0" w:color="auto"/>
            </w:tcBorders>
            <w:shd w:val="clear" w:color="000000" w:fill="FFFFFF"/>
            <w:noWrap/>
            <w:vAlign w:val="center"/>
            <w:hideMark/>
          </w:tcPr>
          <w:p w14:paraId="139D9E88" w14:textId="77777777" w:rsidR="00ED0CAE" w:rsidRPr="00ED0CAE" w:rsidRDefault="00ED0CAE" w:rsidP="00ED0CAE">
            <w:pPr>
              <w:spacing w:before="0" w:after="0" w:line="240" w:lineRule="auto"/>
              <w:jc w:val="center"/>
              <w:rPr>
                <w:rFonts w:ascii="Arial" w:eastAsia="Times New Roman" w:hAnsi="Arial" w:cs="Arial"/>
                <w:lang w:eastAsia="it-IT"/>
              </w:rPr>
            </w:pPr>
            <w:r w:rsidRPr="00ED0CAE">
              <w:rPr>
                <w:rFonts w:ascii="Arial" w:eastAsia="Times New Roman" w:hAnsi="Arial" w:cs="Arial"/>
                <w:lang w:eastAsia="it-IT"/>
              </w:rPr>
              <w:t>22,5</w:t>
            </w:r>
          </w:p>
        </w:tc>
      </w:tr>
    </w:tbl>
    <w:p w14:paraId="64E0C00A" w14:textId="77777777" w:rsidR="00ED0CAE" w:rsidRDefault="00ED0CAE" w:rsidP="00ED0CAE">
      <w:pPr>
        <w:jc w:val="both"/>
      </w:pPr>
    </w:p>
    <w:p w14:paraId="6F62334F" w14:textId="27F10886" w:rsidR="00ED0CAE" w:rsidRPr="00ED0CAE" w:rsidRDefault="00ED0CAE" w:rsidP="00ED0CAE">
      <w:pPr>
        <w:jc w:val="both"/>
      </w:pPr>
      <w:r w:rsidRPr="00ED0CAE">
        <w:t>Ciascuna delle precedenti tre variabili viene poi pesata per calcolare il livello di efficacia delle misure attualmente applicate all’interno dell’organizzazione:</w:t>
      </w:r>
    </w:p>
    <w:p w14:paraId="25574122" w14:textId="1D3424CA" w:rsidR="00ED0CAE" w:rsidRPr="00ED0CAE" w:rsidRDefault="00ED0CAE" w:rsidP="00ED0CAE">
      <w:pPr>
        <w:jc w:val="both"/>
      </w:pPr>
      <w:r w:rsidRPr="00ED0CAE">
        <w:t>Formazione specificatamente dedicata</w:t>
      </w:r>
      <w:r w:rsidRPr="00ED0CAE">
        <w:tab/>
      </w:r>
      <w:r>
        <w:tab/>
      </w:r>
      <w:r w:rsidRPr="00ED0CAE">
        <w:tab/>
        <w:t>peso: 40%</w:t>
      </w:r>
    </w:p>
    <w:p w14:paraId="1F6A6A54" w14:textId="77777777" w:rsidR="00ED0CAE" w:rsidRPr="00ED0CAE" w:rsidRDefault="00ED0CAE" w:rsidP="00ED0CAE">
      <w:pPr>
        <w:jc w:val="both"/>
      </w:pPr>
      <w:r w:rsidRPr="00ED0CAE">
        <w:t>Canali di comunicazione/segnalazione interna</w:t>
      </w:r>
      <w:r w:rsidRPr="00ED0CAE">
        <w:tab/>
      </w:r>
      <w:r w:rsidRPr="00ED0CAE">
        <w:tab/>
        <w:t>peso: 20%</w:t>
      </w:r>
    </w:p>
    <w:p w14:paraId="507DDC1A" w14:textId="74741519" w:rsidR="00ED0CAE" w:rsidRPr="00ED0CAE" w:rsidRDefault="00ED0CAE" w:rsidP="00ED0CAE">
      <w:pPr>
        <w:jc w:val="both"/>
      </w:pPr>
      <w:r w:rsidRPr="00ED0CAE">
        <w:t>Controlli attualmente presenti</w:t>
      </w:r>
      <w:r w:rsidRPr="00ED0CAE">
        <w:tab/>
      </w:r>
      <w:r w:rsidRPr="00ED0CAE">
        <w:tab/>
      </w:r>
      <w:r>
        <w:tab/>
      </w:r>
      <w:r w:rsidRPr="00ED0CAE">
        <w:tab/>
        <w:t>peso: 40%</w:t>
      </w:r>
    </w:p>
    <w:p w14:paraId="0771A525" w14:textId="77777777" w:rsidR="00ED0CAE" w:rsidRPr="00ED0CAE" w:rsidRDefault="00ED0CAE" w:rsidP="00ED0CAE">
      <w:pPr>
        <w:jc w:val="both"/>
      </w:pPr>
      <w:r w:rsidRPr="00ED0CAE">
        <w:t>Ultimo step è rappresentato dal calcolo del RISCHIO RESIDUO come media pesata del rischio inerente e dell'efficacia delle misure. Il sistema prevede di pesare il rischio inerente al 70% e l'efficacia delle misure al 30%. Tali percentuali sono personalizzabili.</w:t>
      </w:r>
    </w:p>
    <w:p w14:paraId="5DAADF4E" w14:textId="1B196BDF" w:rsidR="00ED0CAE" w:rsidRDefault="00ED0CAE" w:rsidP="00A33F87">
      <w:r>
        <w:rPr>
          <w:noProof/>
        </w:rPr>
        <w:lastRenderedPageBreak/>
        <w:drawing>
          <wp:inline distT="0" distB="0" distL="0" distR="0" wp14:anchorId="2A47388C" wp14:editId="4ABEF713">
            <wp:extent cx="5939790" cy="1189990"/>
            <wp:effectExtent l="0" t="0" r="3810" b="0"/>
            <wp:docPr id="18" name="Immagine 17">
              <a:extLst xmlns:a="http://schemas.openxmlformats.org/drawingml/2006/main">
                <a:ext uri="{FF2B5EF4-FFF2-40B4-BE49-F238E27FC236}">
                  <a16:creationId xmlns:a16="http://schemas.microsoft.com/office/drawing/2014/main" id="{440E201B-369C-4737-86EA-3D7DC9BA193E}"/>
                </a:ext>
              </a:extLst>
            </wp:docPr>
            <wp:cNvGraphicFramePr/>
            <a:graphic xmlns:a="http://schemas.openxmlformats.org/drawingml/2006/main">
              <a:graphicData uri="http://schemas.openxmlformats.org/drawingml/2006/picture">
                <pic:pic xmlns:pic="http://schemas.openxmlformats.org/drawingml/2006/picture">
                  <pic:nvPicPr>
                    <pic:cNvPr id="18" name="Immagine 17">
                      <a:extLst>
                        <a:ext uri="{FF2B5EF4-FFF2-40B4-BE49-F238E27FC236}">
                          <a16:creationId xmlns:a16="http://schemas.microsoft.com/office/drawing/2014/main" id="{440E201B-369C-4737-86EA-3D7DC9BA193E}"/>
                        </a:ext>
                      </a:extLst>
                    </pic:cNvPr>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9790" cy="1189990"/>
                    </a:xfrm>
                    <a:prstGeom prst="rect">
                      <a:avLst/>
                    </a:prstGeom>
                    <a:noFill/>
                    <a:ln>
                      <a:noFill/>
                    </a:ln>
                  </pic:spPr>
                </pic:pic>
              </a:graphicData>
            </a:graphic>
          </wp:inline>
        </w:drawing>
      </w:r>
    </w:p>
    <w:p w14:paraId="394C06EE" w14:textId="4408F69D" w:rsidR="00ED0CAE" w:rsidRDefault="00ED0CAE" w:rsidP="00A33F87">
      <w:r>
        <w:rPr>
          <w:noProof/>
        </w:rPr>
        <w:drawing>
          <wp:inline distT="0" distB="0" distL="0" distR="0" wp14:anchorId="26E9B8E2" wp14:editId="6F667364">
            <wp:extent cx="4026328" cy="1202718"/>
            <wp:effectExtent l="0" t="0" r="0" b="0"/>
            <wp:docPr id="19" name="Immagine 18">
              <a:extLst xmlns:a="http://schemas.openxmlformats.org/drawingml/2006/main">
                <a:ext uri="{FF2B5EF4-FFF2-40B4-BE49-F238E27FC236}">
                  <a16:creationId xmlns:a16="http://schemas.microsoft.com/office/drawing/2014/main" id="{28E6B6FE-6D6C-4DA6-B920-36F58792292D}"/>
                </a:ext>
              </a:extLst>
            </wp:docPr>
            <wp:cNvGraphicFramePr/>
            <a:graphic xmlns:a="http://schemas.openxmlformats.org/drawingml/2006/main">
              <a:graphicData uri="http://schemas.openxmlformats.org/drawingml/2006/picture">
                <pic:pic xmlns:pic="http://schemas.openxmlformats.org/drawingml/2006/picture">
                  <pic:nvPicPr>
                    <pic:cNvPr id="19" name="Immagine 18">
                      <a:extLst>
                        <a:ext uri="{FF2B5EF4-FFF2-40B4-BE49-F238E27FC236}">
                          <a16:creationId xmlns:a16="http://schemas.microsoft.com/office/drawing/2014/main" id="{28E6B6FE-6D6C-4DA6-B920-36F58792292D}"/>
                        </a:ext>
                      </a:extLst>
                    </pic:cNvPr>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26328" cy="1202718"/>
                    </a:xfrm>
                    <a:prstGeom prst="rect">
                      <a:avLst/>
                    </a:prstGeom>
                    <a:noFill/>
                    <a:ln>
                      <a:noFill/>
                    </a:ln>
                  </pic:spPr>
                </pic:pic>
              </a:graphicData>
            </a:graphic>
          </wp:inline>
        </w:drawing>
      </w:r>
      <w:bookmarkEnd w:id="1"/>
    </w:p>
    <w:sectPr w:rsidR="00ED0CAE" w:rsidSect="004C3822">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E92A9" w14:textId="77777777" w:rsidR="000F0156" w:rsidRDefault="000F0156" w:rsidP="00201DD0">
      <w:pPr>
        <w:spacing w:before="0" w:after="0" w:line="240" w:lineRule="auto"/>
      </w:pPr>
      <w:r>
        <w:separator/>
      </w:r>
    </w:p>
  </w:endnote>
  <w:endnote w:type="continuationSeparator" w:id="0">
    <w:p w14:paraId="13AAAD72" w14:textId="77777777" w:rsidR="000F0156" w:rsidRDefault="000F0156" w:rsidP="00201D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BE3C8" w14:textId="77777777" w:rsidR="004C3822" w:rsidRDefault="004C382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2C739" w14:textId="0B01BA00" w:rsidR="00651271" w:rsidRDefault="00651271" w:rsidP="00AC6194">
    <w:pPr>
      <w:pStyle w:val="Pidipagina"/>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7"/>
      <w:gridCol w:w="2440"/>
      <w:gridCol w:w="3943"/>
    </w:tblGrid>
    <w:tr w:rsidR="00651271" w:rsidRPr="003D77C9" w14:paraId="2EB57126" w14:textId="77777777" w:rsidTr="00B67691">
      <w:tc>
        <w:tcPr>
          <w:tcW w:w="3209" w:type="dxa"/>
        </w:tcPr>
        <w:p w14:paraId="00A25182" w14:textId="38AE07CC" w:rsidR="00651271" w:rsidRDefault="00651271" w:rsidP="00E63C2D">
          <w:pPr>
            <w:pStyle w:val="Pidipagina"/>
          </w:pPr>
        </w:p>
      </w:tc>
      <w:tc>
        <w:tcPr>
          <w:tcW w:w="2456" w:type="dxa"/>
        </w:tcPr>
        <w:p w14:paraId="6E1DA511" w14:textId="77777777" w:rsidR="00651271" w:rsidRDefault="00651271" w:rsidP="00E63C2D">
          <w:pPr>
            <w:pStyle w:val="Pidipagina"/>
          </w:pPr>
        </w:p>
      </w:tc>
      <w:tc>
        <w:tcPr>
          <w:tcW w:w="3963" w:type="dxa"/>
        </w:tcPr>
        <w:p w14:paraId="025269E7" w14:textId="4A602383" w:rsidR="00651271" w:rsidRPr="003D77C9" w:rsidRDefault="004C3822" w:rsidP="00E63C2D">
          <w:pPr>
            <w:pStyle w:val="Pidipagina"/>
            <w:jc w:val="right"/>
            <w:rPr>
              <w:rFonts w:ascii="Trebuchet MS" w:hAnsi="Trebuchet MS"/>
            </w:rPr>
          </w:pPr>
          <w:r>
            <w:rPr>
              <w:rFonts w:ascii="Trebuchet MS" w:hAnsi="Trebuchet MS"/>
              <w:sz w:val="18"/>
              <w:szCs w:val="18"/>
            </w:rPr>
            <w:t>Metodi di valutazione del rischio</w:t>
          </w:r>
          <w:r w:rsidR="00651271" w:rsidRPr="00F427B3">
            <w:rPr>
              <w:rFonts w:ascii="Trebuchet MS" w:hAnsi="Trebuchet MS"/>
              <w:sz w:val="18"/>
              <w:szCs w:val="18"/>
            </w:rPr>
            <w:t xml:space="preserve"> – </w:t>
          </w:r>
          <w:proofErr w:type="spellStart"/>
          <w:r w:rsidR="00651271" w:rsidRPr="00F427B3">
            <w:rPr>
              <w:rFonts w:ascii="Trebuchet MS" w:hAnsi="Trebuchet MS"/>
              <w:sz w:val="18"/>
              <w:szCs w:val="18"/>
            </w:rPr>
            <w:t>pg</w:t>
          </w:r>
          <w:proofErr w:type="spellEnd"/>
          <w:r w:rsidR="00651271" w:rsidRPr="00F427B3">
            <w:rPr>
              <w:rFonts w:ascii="Trebuchet MS" w:hAnsi="Trebuchet MS"/>
              <w:sz w:val="18"/>
              <w:szCs w:val="18"/>
            </w:rPr>
            <w:t xml:space="preserve">. </w:t>
          </w:r>
          <w:r w:rsidR="00651271" w:rsidRPr="00F427B3">
            <w:rPr>
              <w:rFonts w:ascii="Trebuchet MS" w:hAnsi="Trebuchet MS"/>
              <w:sz w:val="18"/>
              <w:szCs w:val="18"/>
            </w:rPr>
            <w:fldChar w:fldCharType="begin"/>
          </w:r>
          <w:r w:rsidR="00651271" w:rsidRPr="00F427B3">
            <w:rPr>
              <w:rFonts w:ascii="Trebuchet MS" w:hAnsi="Trebuchet MS"/>
              <w:sz w:val="18"/>
              <w:szCs w:val="18"/>
            </w:rPr>
            <w:instrText>PAGE   \* MERGEFORMAT</w:instrText>
          </w:r>
          <w:r w:rsidR="00651271" w:rsidRPr="00F427B3">
            <w:rPr>
              <w:rFonts w:ascii="Trebuchet MS" w:hAnsi="Trebuchet MS"/>
              <w:sz w:val="18"/>
              <w:szCs w:val="18"/>
            </w:rPr>
            <w:fldChar w:fldCharType="separate"/>
          </w:r>
          <w:r w:rsidR="00A74F10">
            <w:rPr>
              <w:rFonts w:ascii="Trebuchet MS" w:hAnsi="Trebuchet MS"/>
              <w:noProof/>
              <w:sz w:val="18"/>
              <w:szCs w:val="18"/>
            </w:rPr>
            <w:t>25</w:t>
          </w:r>
          <w:r w:rsidR="00651271" w:rsidRPr="00F427B3">
            <w:rPr>
              <w:rFonts w:ascii="Trebuchet MS" w:hAnsi="Trebuchet MS"/>
              <w:sz w:val="18"/>
              <w:szCs w:val="18"/>
            </w:rPr>
            <w:fldChar w:fldCharType="end"/>
          </w:r>
        </w:p>
      </w:tc>
    </w:tr>
  </w:tbl>
  <w:p w14:paraId="5C493C7C" w14:textId="77777777" w:rsidR="00651271" w:rsidRDefault="00651271" w:rsidP="00AC619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2847" w14:textId="77777777" w:rsidR="004C3822" w:rsidRDefault="004C382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0F503" w14:textId="77777777" w:rsidR="000F0156" w:rsidRDefault="000F0156" w:rsidP="00201DD0">
      <w:pPr>
        <w:spacing w:before="0" w:after="0" w:line="240" w:lineRule="auto"/>
      </w:pPr>
      <w:r>
        <w:separator/>
      </w:r>
    </w:p>
  </w:footnote>
  <w:footnote w:type="continuationSeparator" w:id="0">
    <w:p w14:paraId="4490F8F8" w14:textId="77777777" w:rsidR="000F0156" w:rsidRDefault="000F0156" w:rsidP="00201DD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EEB7" w14:textId="77777777" w:rsidR="004C3822" w:rsidRDefault="004C382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A4C89" w14:textId="406C0BE0" w:rsidR="00651271" w:rsidRDefault="00651271">
    <w:pPr>
      <w:pStyle w:val="Intestazione"/>
    </w:pPr>
  </w:p>
  <w:p w14:paraId="1E49E623" w14:textId="77777777" w:rsidR="00651271" w:rsidRDefault="0065127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5CCB" w14:textId="77777777" w:rsidR="004C3822" w:rsidRDefault="004C382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7D29"/>
    <w:multiLevelType w:val="hybridMultilevel"/>
    <w:tmpl w:val="CAEC7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302243"/>
    <w:multiLevelType w:val="hybridMultilevel"/>
    <w:tmpl w:val="7358674E"/>
    <w:lvl w:ilvl="0" w:tplc="CB087358">
      <w:start w:val="1"/>
      <w:numFmt w:val="low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2B74DF"/>
    <w:multiLevelType w:val="hybridMultilevel"/>
    <w:tmpl w:val="CDFEFF50"/>
    <w:lvl w:ilvl="0" w:tplc="062287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BB01088"/>
    <w:multiLevelType w:val="hybridMultilevel"/>
    <w:tmpl w:val="C1766FAA"/>
    <w:lvl w:ilvl="0" w:tplc="CB087358">
      <w:start w:val="1"/>
      <w:numFmt w:val="low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B971ECD"/>
    <w:multiLevelType w:val="hybridMultilevel"/>
    <w:tmpl w:val="AA3E8486"/>
    <w:lvl w:ilvl="0" w:tplc="3AAC39B6">
      <w:start w:val="1"/>
      <w:numFmt w:val="decimal"/>
      <w:lvlText w:val="%1."/>
      <w:lvlJc w:val="left"/>
      <w:pPr>
        <w:ind w:left="502" w:hanging="360"/>
      </w:pPr>
      <w:rPr>
        <w:rFonts w:hint="default"/>
        <w:b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1636306"/>
    <w:multiLevelType w:val="hybridMultilevel"/>
    <w:tmpl w:val="39E438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AB546FB"/>
    <w:multiLevelType w:val="hybridMultilevel"/>
    <w:tmpl w:val="65C21920"/>
    <w:lvl w:ilvl="0" w:tplc="04100017">
      <w:start w:val="1"/>
      <w:numFmt w:val="lowerLetter"/>
      <w:lvlText w:val="%1)"/>
      <w:lvlJc w:val="left"/>
      <w:pPr>
        <w:ind w:left="720" w:hanging="360"/>
      </w:pPr>
    </w:lvl>
    <w:lvl w:ilvl="1" w:tplc="2B305010">
      <w:start w:val="1"/>
      <w:numFmt w:val="decimal"/>
      <w:lvlText w:val="%2."/>
      <w:lvlJc w:val="left"/>
      <w:pPr>
        <w:ind w:left="1790" w:hanging="71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2"/>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1DD0"/>
    <w:rsid w:val="00033B41"/>
    <w:rsid w:val="0004086B"/>
    <w:rsid w:val="00071154"/>
    <w:rsid w:val="000845FA"/>
    <w:rsid w:val="00085D19"/>
    <w:rsid w:val="00085D29"/>
    <w:rsid w:val="000C54F3"/>
    <w:rsid w:val="000D27C2"/>
    <w:rsid w:val="000F0156"/>
    <w:rsid w:val="001049BA"/>
    <w:rsid w:val="00171A46"/>
    <w:rsid w:val="0019075B"/>
    <w:rsid w:val="001B2255"/>
    <w:rsid w:val="001B2664"/>
    <w:rsid w:val="001B26C3"/>
    <w:rsid w:val="00201DD0"/>
    <w:rsid w:val="00203767"/>
    <w:rsid w:val="00205F8D"/>
    <w:rsid w:val="00215080"/>
    <w:rsid w:val="00233478"/>
    <w:rsid w:val="00244299"/>
    <w:rsid w:val="002548D3"/>
    <w:rsid w:val="002704F8"/>
    <w:rsid w:val="00276517"/>
    <w:rsid w:val="002906EA"/>
    <w:rsid w:val="002A6A70"/>
    <w:rsid w:val="002B3831"/>
    <w:rsid w:val="002B6E3C"/>
    <w:rsid w:val="00312949"/>
    <w:rsid w:val="00352AE3"/>
    <w:rsid w:val="00357F17"/>
    <w:rsid w:val="00362BB9"/>
    <w:rsid w:val="00373BF8"/>
    <w:rsid w:val="00380F32"/>
    <w:rsid w:val="00390054"/>
    <w:rsid w:val="00391705"/>
    <w:rsid w:val="003C02E4"/>
    <w:rsid w:val="003C0614"/>
    <w:rsid w:val="003D1C27"/>
    <w:rsid w:val="003D77C9"/>
    <w:rsid w:val="00407EF2"/>
    <w:rsid w:val="004110DA"/>
    <w:rsid w:val="00421FF8"/>
    <w:rsid w:val="004468E0"/>
    <w:rsid w:val="004611EE"/>
    <w:rsid w:val="004671D4"/>
    <w:rsid w:val="004B6626"/>
    <w:rsid w:val="004C0168"/>
    <w:rsid w:val="004C178A"/>
    <w:rsid w:val="004C3822"/>
    <w:rsid w:val="004D33B0"/>
    <w:rsid w:val="004F5A94"/>
    <w:rsid w:val="005117B7"/>
    <w:rsid w:val="00531CD6"/>
    <w:rsid w:val="005B2B9C"/>
    <w:rsid w:val="005B63F0"/>
    <w:rsid w:val="005C72B1"/>
    <w:rsid w:val="005D7708"/>
    <w:rsid w:val="005E0D54"/>
    <w:rsid w:val="005F166A"/>
    <w:rsid w:val="005F2641"/>
    <w:rsid w:val="00631293"/>
    <w:rsid w:val="00637331"/>
    <w:rsid w:val="00643878"/>
    <w:rsid w:val="00651271"/>
    <w:rsid w:val="006C6906"/>
    <w:rsid w:val="006E720F"/>
    <w:rsid w:val="00701E56"/>
    <w:rsid w:val="00703359"/>
    <w:rsid w:val="007214CA"/>
    <w:rsid w:val="00730733"/>
    <w:rsid w:val="00750E39"/>
    <w:rsid w:val="00776964"/>
    <w:rsid w:val="007C031E"/>
    <w:rsid w:val="0082336A"/>
    <w:rsid w:val="0082489E"/>
    <w:rsid w:val="00827B66"/>
    <w:rsid w:val="00833F65"/>
    <w:rsid w:val="00841835"/>
    <w:rsid w:val="00851FE4"/>
    <w:rsid w:val="00854B51"/>
    <w:rsid w:val="00881B52"/>
    <w:rsid w:val="00931A78"/>
    <w:rsid w:val="0095602E"/>
    <w:rsid w:val="00966E6D"/>
    <w:rsid w:val="009B0197"/>
    <w:rsid w:val="009B3592"/>
    <w:rsid w:val="009D3167"/>
    <w:rsid w:val="009D5D51"/>
    <w:rsid w:val="009E432C"/>
    <w:rsid w:val="009E64D1"/>
    <w:rsid w:val="00A03E2B"/>
    <w:rsid w:val="00A33F87"/>
    <w:rsid w:val="00A50EAA"/>
    <w:rsid w:val="00A60C0B"/>
    <w:rsid w:val="00A63497"/>
    <w:rsid w:val="00A67A95"/>
    <w:rsid w:val="00A74F10"/>
    <w:rsid w:val="00A767E8"/>
    <w:rsid w:val="00A93223"/>
    <w:rsid w:val="00AA6915"/>
    <w:rsid w:val="00AB09A9"/>
    <w:rsid w:val="00AC6194"/>
    <w:rsid w:val="00AC67D3"/>
    <w:rsid w:val="00AD5956"/>
    <w:rsid w:val="00AE3F0B"/>
    <w:rsid w:val="00AF0BCC"/>
    <w:rsid w:val="00B0606C"/>
    <w:rsid w:val="00B1564A"/>
    <w:rsid w:val="00B25103"/>
    <w:rsid w:val="00B26445"/>
    <w:rsid w:val="00B67691"/>
    <w:rsid w:val="00B73D37"/>
    <w:rsid w:val="00B7766C"/>
    <w:rsid w:val="00BE64B9"/>
    <w:rsid w:val="00BE76A4"/>
    <w:rsid w:val="00C114F5"/>
    <w:rsid w:val="00C511DC"/>
    <w:rsid w:val="00C5194F"/>
    <w:rsid w:val="00C81F85"/>
    <w:rsid w:val="00C85040"/>
    <w:rsid w:val="00CE6DEE"/>
    <w:rsid w:val="00D03831"/>
    <w:rsid w:val="00D21B85"/>
    <w:rsid w:val="00D37F62"/>
    <w:rsid w:val="00D44262"/>
    <w:rsid w:val="00D51FE9"/>
    <w:rsid w:val="00DF561E"/>
    <w:rsid w:val="00E03A1E"/>
    <w:rsid w:val="00E175C4"/>
    <w:rsid w:val="00E5215E"/>
    <w:rsid w:val="00E63C2D"/>
    <w:rsid w:val="00EB31D9"/>
    <w:rsid w:val="00ED0CAE"/>
    <w:rsid w:val="00EF7291"/>
    <w:rsid w:val="00F04AEB"/>
    <w:rsid w:val="00F06136"/>
    <w:rsid w:val="00F16CC8"/>
    <w:rsid w:val="00F33FC6"/>
    <w:rsid w:val="00F427B3"/>
    <w:rsid w:val="00F4561B"/>
    <w:rsid w:val="00F64C54"/>
    <w:rsid w:val="00F65A83"/>
    <w:rsid w:val="00F7010E"/>
    <w:rsid w:val="00F92718"/>
    <w:rsid w:val="00F9392B"/>
    <w:rsid w:val="00F96159"/>
    <w:rsid w:val="00FA5DBF"/>
    <w:rsid w:val="00FC122E"/>
    <w:rsid w:val="00FC6A3B"/>
    <w:rsid w:val="00FD4C90"/>
    <w:rsid w:val="00FE138E"/>
    <w:rsid w:val="00FE34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87DE5E"/>
  <w15:docId w15:val="{53E590D5-EDA0-4B4A-94E4-321144979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6A70"/>
  </w:style>
  <w:style w:type="paragraph" w:styleId="Titolo1">
    <w:name w:val="heading 1"/>
    <w:basedOn w:val="Normale"/>
    <w:next w:val="Normale"/>
    <w:link w:val="Titolo1Carattere"/>
    <w:uiPriority w:val="9"/>
    <w:qFormat/>
    <w:rsid w:val="002A6A70"/>
    <w:pPr>
      <w:pBdr>
        <w:top w:val="single" w:sz="24" w:space="0" w:color="1CADE4" w:themeColor="accent1"/>
        <w:left w:val="single" w:sz="24" w:space="0" w:color="1CADE4" w:themeColor="accent1"/>
        <w:bottom w:val="single" w:sz="24" w:space="0" w:color="1CADE4" w:themeColor="accent1"/>
        <w:right w:val="single" w:sz="24" w:space="0" w:color="1CADE4" w:themeColor="accent1"/>
      </w:pBdr>
      <w:shd w:val="clear" w:color="auto" w:fill="1CADE4" w:themeFill="accent1"/>
      <w:spacing w:after="0"/>
      <w:outlineLvl w:val="0"/>
    </w:pPr>
    <w:rPr>
      <w:caps/>
      <w:color w:val="FFFFFF" w:themeColor="background1"/>
      <w:spacing w:val="15"/>
      <w:sz w:val="22"/>
      <w:szCs w:val="22"/>
    </w:rPr>
  </w:style>
  <w:style w:type="paragraph" w:styleId="Titolo2">
    <w:name w:val="heading 2"/>
    <w:basedOn w:val="Normale"/>
    <w:next w:val="Normale"/>
    <w:link w:val="Titolo2Carattere"/>
    <w:uiPriority w:val="9"/>
    <w:semiHidden/>
    <w:unhideWhenUsed/>
    <w:qFormat/>
    <w:rsid w:val="002A6A70"/>
    <w:pPr>
      <w:pBdr>
        <w:top w:val="single" w:sz="24" w:space="0" w:color="D1EEF9" w:themeColor="accent1" w:themeTint="33"/>
        <w:left w:val="single" w:sz="24" w:space="0" w:color="D1EEF9" w:themeColor="accent1" w:themeTint="33"/>
        <w:bottom w:val="single" w:sz="24" w:space="0" w:color="D1EEF9" w:themeColor="accent1" w:themeTint="33"/>
        <w:right w:val="single" w:sz="24" w:space="0" w:color="D1EEF9" w:themeColor="accent1" w:themeTint="33"/>
      </w:pBdr>
      <w:shd w:val="clear" w:color="auto" w:fill="D1EEF9" w:themeFill="accent1" w:themeFillTint="33"/>
      <w:spacing w:after="0"/>
      <w:outlineLvl w:val="1"/>
    </w:pPr>
    <w:rPr>
      <w:caps/>
      <w:spacing w:val="15"/>
    </w:rPr>
  </w:style>
  <w:style w:type="paragraph" w:styleId="Titolo3">
    <w:name w:val="heading 3"/>
    <w:basedOn w:val="Normale"/>
    <w:next w:val="Normale"/>
    <w:link w:val="Titolo3Carattere"/>
    <w:uiPriority w:val="9"/>
    <w:semiHidden/>
    <w:unhideWhenUsed/>
    <w:qFormat/>
    <w:rsid w:val="002A6A70"/>
    <w:pPr>
      <w:pBdr>
        <w:top w:val="single" w:sz="6" w:space="2" w:color="1CADE4" w:themeColor="accent1"/>
      </w:pBdr>
      <w:spacing w:before="300" w:after="0"/>
      <w:outlineLvl w:val="2"/>
    </w:pPr>
    <w:rPr>
      <w:caps/>
      <w:color w:val="0D5571" w:themeColor="accent1" w:themeShade="7F"/>
      <w:spacing w:val="15"/>
    </w:rPr>
  </w:style>
  <w:style w:type="paragraph" w:styleId="Titolo4">
    <w:name w:val="heading 4"/>
    <w:basedOn w:val="Normale"/>
    <w:next w:val="Normale"/>
    <w:link w:val="Titolo4Carattere"/>
    <w:uiPriority w:val="9"/>
    <w:semiHidden/>
    <w:unhideWhenUsed/>
    <w:qFormat/>
    <w:rsid w:val="002A6A70"/>
    <w:pPr>
      <w:pBdr>
        <w:top w:val="dotted" w:sz="6" w:space="2" w:color="1CADE4" w:themeColor="accent1"/>
      </w:pBdr>
      <w:spacing w:before="200" w:after="0"/>
      <w:outlineLvl w:val="3"/>
    </w:pPr>
    <w:rPr>
      <w:caps/>
      <w:color w:val="1481AB" w:themeColor="accent1" w:themeShade="BF"/>
      <w:spacing w:val="10"/>
    </w:rPr>
  </w:style>
  <w:style w:type="paragraph" w:styleId="Titolo5">
    <w:name w:val="heading 5"/>
    <w:basedOn w:val="Normale"/>
    <w:next w:val="Normale"/>
    <w:link w:val="Titolo5Carattere"/>
    <w:uiPriority w:val="9"/>
    <w:semiHidden/>
    <w:unhideWhenUsed/>
    <w:qFormat/>
    <w:rsid w:val="002A6A70"/>
    <w:pPr>
      <w:pBdr>
        <w:bottom w:val="single" w:sz="6" w:space="1" w:color="1CADE4" w:themeColor="accent1"/>
      </w:pBdr>
      <w:spacing w:before="200" w:after="0"/>
      <w:outlineLvl w:val="4"/>
    </w:pPr>
    <w:rPr>
      <w:caps/>
      <w:color w:val="1481AB" w:themeColor="accent1" w:themeShade="BF"/>
      <w:spacing w:val="10"/>
    </w:rPr>
  </w:style>
  <w:style w:type="paragraph" w:styleId="Titolo6">
    <w:name w:val="heading 6"/>
    <w:basedOn w:val="Normale"/>
    <w:next w:val="Normale"/>
    <w:link w:val="Titolo6Carattere"/>
    <w:uiPriority w:val="9"/>
    <w:semiHidden/>
    <w:unhideWhenUsed/>
    <w:qFormat/>
    <w:rsid w:val="002A6A70"/>
    <w:pPr>
      <w:pBdr>
        <w:bottom w:val="dotted" w:sz="6" w:space="1" w:color="1CADE4" w:themeColor="accent1"/>
      </w:pBdr>
      <w:spacing w:before="200" w:after="0"/>
      <w:outlineLvl w:val="5"/>
    </w:pPr>
    <w:rPr>
      <w:caps/>
      <w:color w:val="1481AB" w:themeColor="accent1" w:themeShade="BF"/>
      <w:spacing w:val="10"/>
    </w:rPr>
  </w:style>
  <w:style w:type="paragraph" w:styleId="Titolo7">
    <w:name w:val="heading 7"/>
    <w:basedOn w:val="Normale"/>
    <w:next w:val="Normale"/>
    <w:link w:val="Titolo7Carattere"/>
    <w:uiPriority w:val="9"/>
    <w:semiHidden/>
    <w:unhideWhenUsed/>
    <w:qFormat/>
    <w:rsid w:val="002A6A70"/>
    <w:pPr>
      <w:spacing w:before="200" w:after="0"/>
      <w:outlineLvl w:val="6"/>
    </w:pPr>
    <w:rPr>
      <w:caps/>
      <w:color w:val="1481AB" w:themeColor="accent1" w:themeShade="BF"/>
      <w:spacing w:val="10"/>
    </w:rPr>
  </w:style>
  <w:style w:type="paragraph" w:styleId="Titolo8">
    <w:name w:val="heading 8"/>
    <w:basedOn w:val="Normale"/>
    <w:next w:val="Normale"/>
    <w:link w:val="Titolo8Carattere"/>
    <w:uiPriority w:val="9"/>
    <w:semiHidden/>
    <w:unhideWhenUsed/>
    <w:qFormat/>
    <w:rsid w:val="002A6A70"/>
    <w:pPr>
      <w:spacing w:before="200" w:after="0"/>
      <w:outlineLvl w:val="7"/>
    </w:pPr>
    <w:rPr>
      <w:caps/>
      <w:spacing w:val="10"/>
      <w:sz w:val="18"/>
      <w:szCs w:val="18"/>
    </w:rPr>
  </w:style>
  <w:style w:type="paragraph" w:styleId="Titolo9">
    <w:name w:val="heading 9"/>
    <w:basedOn w:val="Normale"/>
    <w:next w:val="Normale"/>
    <w:link w:val="Titolo9Carattere"/>
    <w:uiPriority w:val="9"/>
    <w:semiHidden/>
    <w:unhideWhenUsed/>
    <w:qFormat/>
    <w:rsid w:val="002A6A70"/>
    <w:pPr>
      <w:spacing w:before="200" w:after="0"/>
      <w:outlineLvl w:val="8"/>
    </w:pPr>
    <w:rPr>
      <w:i/>
      <w:iCs/>
      <w:caps/>
      <w:spacing w:val="10"/>
      <w:sz w:val="18"/>
      <w:szCs w:val="1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01DD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01DD0"/>
  </w:style>
  <w:style w:type="paragraph" w:styleId="Pidipagina">
    <w:name w:val="footer"/>
    <w:basedOn w:val="Normale"/>
    <w:link w:val="PidipaginaCarattere"/>
    <w:uiPriority w:val="99"/>
    <w:unhideWhenUsed/>
    <w:rsid w:val="00201D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01DD0"/>
  </w:style>
  <w:style w:type="paragraph" w:customStyle="1" w:styleId="dsParteTitolo">
    <w:name w:val="ds_Parte_Titolo"/>
    <w:next w:val="Normale"/>
    <w:rsid w:val="00201DD0"/>
    <w:pPr>
      <w:pBdr>
        <w:top w:val="dotted" w:sz="4" w:space="1" w:color="auto"/>
      </w:pBdr>
      <w:spacing w:before="240"/>
      <w:jc w:val="right"/>
    </w:pPr>
    <w:rPr>
      <w:rFonts w:ascii="Garamond" w:hAnsi="Garamond"/>
      <w:i/>
      <w:noProof/>
      <w:color w:val="CC0000"/>
      <w:sz w:val="76"/>
      <w:lang w:eastAsia="it-IT"/>
    </w:rPr>
  </w:style>
  <w:style w:type="paragraph" w:styleId="Titolo">
    <w:name w:val="Title"/>
    <w:basedOn w:val="Normale"/>
    <w:next w:val="Normale"/>
    <w:link w:val="TitoloCarattere"/>
    <w:uiPriority w:val="10"/>
    <w:qFormat/>
    <w:rsid w:val="002A6A70"/>
    <w:pPr>
      <w:spacing w:before="0" w:after="0"/>
    </w:pPr>
    <w:rPr>
      <w:rFonts w:asciiTheme="majorHAnsi" w:eastAsiaTheme="majorEastAsia" w:hAnsiTheme="majorHAnsi" w:cstheme="majorBidi"/>
      <w:caps/>
      <w:color w:val="1CADE4" w:themeColor="accent1"/>
      <w:spacing w:val="10"/>
      <w:sz w:val="52"/>
      <w:szCs w:val="52"/>
    </w:rPr>
  </w:style>
  <w:style w:type="character" w:customStyle="1" w:styleId="TitoloCarattere">
    <w:name w:val="Titolo Carattere"/>
    <w:basedOn w:val="Carpredefinitoparagrafo"/>
    <w:link w:val="Titolo"/>
    <w:uiPriority w:val="10"/>
    <w:rsid w:val="002A6A70"/>
    <w:rPr>
      <w:rFonts w:asciiTheme="majorHAnsi" w:eastAsiaTheme="majorEastAsia" w:hAnsiTheme="majorHAnsi" w:cstheme="majorBidi"/>
      <w:caps/>
      <w:color w:val="1CADE4" w:themeColor="accent1"/>
      <w:spacing w:val="10"/>
      <w:sz w:val="52"/>
      <w:szCs w:val="52"/>
    </w:rPr>
  </w:style>
  <w:style w:type="table" w:styleId="Grigliatabella">
    <w:name w:val="Table Grid"/>
    <w:basedOn w:val="Tabellanormale"/>
    <w:uiPriority w:val="39"/>
    <w:rsid w:val="00201D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2A6A70"/>
    <w:rPr>
      <w:caps/>
      <w:color w:val="FFFFFF" w:themeColor="background1"/>
      <w:spacing w:val="15"/>
      <w:sz w:val="22"/>
      <w:szCs w:val="22"/>
      <w:shd w:val="clear" w:color="auto" w:fill="1CADE4" w:themeFill="accent1"/>
    </w:rPr>
  </w:style>
  <w:style w:type="character" w:customStyle="1" w:styleId="Titolo2Carattere">
    <w:name w:val="Titolo 2 Carattere"/>
    <w:basedOn w:val="Carpredefinitoparagrafo"/>
    <w:link w:val="Titolo2"/>
    <w:uiPriority w:val="9"/>
    <w:semiHidden/>
    <w:rsid w:val="002A6A70"/>
    <w:rPr>
      <w:caps/>
      <w:spacing w:val="15"/>
      <w:shd w:val="clear" w:color="auto" w:fill="D1EEF9" w:themeFill="accent1" w:themeFillTint="33"/>
    </w:rPr>
  </w:style>
  <w:style w:type="character" w:customStyle="1" w:styleId="Titolo3Carattere">
    <w:name w:val="Titolo 3 Carattere"/>
    <w:basedOn w:val="Carpredefinitoparagrafo"/>
    <w:link w:val="Titolo3"/>
    <w:uiPriority w:val="9"/>
    <w:semiHidden/>
    <w:rsid w:val="002A6A70"/>
    <w:rPr>
      <w:caps/>
      <w:color w:val="0D5571" w:themeColor="accent1" w:themeShade="7F"/>
      <w:spacing w:val="15"/>
    </w:rPr>
  </w:style>
  <w:style w:type="character" w:customStyle="1" w:styleId="Titolo4Carattere">
    <w:name w:val="Titolo 4 Carattere"/>
    <w:basedOn w:val="Carpredefinitoparagrafo"/>
    <w:link w:val="Titolo4"/>
    <w:uiPriority w:val="9"/>
    <w:semiHidden/>
    <w:rsid w:val="002A6A70"/>
    <w:rPr>
      <w:caps/>
      <w:color w:val="1481AB" w:themeColor="accent1" w:themeShade="BF"/>
      <w:spacing w:val="10"/>
    </w:rPr>
  </w:style>
  <w:style w:type="character" w:customStyle="1" w:styleId="Titolo5Carattere">
    <w:name w:val="Titolo 5 Carattere"/>
    <w:basedOn w:val="Carpredefinitoparagrafo"/>
    <w:link w:val="Titolo5"/>
    <w:uiPriority w:val="9"/>
    <w:semiHidden/>
    <w:rsid w:val="002A6A70"/>
    <w:rPr>
      <w:caps/>
      <w:color w:val="1481AB" w:themeColor="accent1" w:themeShade="BF"/>
      <w:spacing w:val="10"/>
    </w:rPr>
  </w:style>
  <w:style w:type="character" w:customStyle="1" w:styleId="Titolo6Carattere">
    <w:name w:val="Titolo 6 Carattere"/>
    <w:basedOn w:val="Carpredefinitoparagrafo"/>
    <w:link w:val="Titolo6"/>
    <w:uiPriority w:val="9"/>
    <w:semiHidden/>
    <w:rsid w:val="002A6A70"/>
    <w:rPr>
      <w:caps/>
      <w:color w:val="1481AB" w:themeColor="accent1" w:themeShade="BF"/>
      <w:spacing w:val="10"/>
    </w:rPr>
  </w:style>
  <w:style w:type="character" w:customStyle="1" w:styleId="Titolo7Carattere">
    <w:name w:val="Titolo 7 Carattere"/>
    <w:basedOn w:val="Carpredefinitoparagrafo"/>
    <w:link w:val="Titolo7"/>
    <w:uiPriority w:val="9"/>
    <w:semiHidden/>
    <w:rsid w:val="002A6A70"/>
    <w:rPr>
      <w:caps/>
      <w:color w:val="1481AB" w:themeColor="accent1" w:themeShade="BF"/>
      <w:spacing w:val="10"/>
    </w:rPr>
  </w:style>
  <w:style w:type="character" w:customStyle="1" w:styleId="Titolo8Carattere">
    <w:name w:val="Titolo 8 Carattere"/>
    <w:basedOn w:val="Carpredefinitoparagrafo"/>
    <w:link w:val="Titolo8"/>
    <w:uiPriority w:val="9"/>
    <w:semiHidden/>
    <w:rsid w:val="002A6A70"/>
    <w:rPr>
      <w:caps/>
      <w:spacing w:val="10"/>
      <w:sz w:val="18"/>
      <w:szCs w:val="18"/>
    </w:rPr>
  </w:style>
  <w:style w:type="character" w:customStyle="1" w:styleId="Titolo9Carattere">
    <w:name w:val="Titolo 9 Carattere"/>
    <w:basedOn w:val="Carpredefinitoparagrafo"/>
    <w:link w:val="Titolo9"/>
    <w:uiPriority w:val="9"/>
    <w:semiHidden/>
    <w:rsid w:val="002A6A70"/>
    <w:rPr>
      <w:i/>
      <w:iCs/>
      <w:caps/>
      <w:spacing w:val="10"/>
      <w:sz w:val="18"/>
      <w:szCs w:val="18"/>
    </w:rPr>
  </w:style>
  <w:style w:type="paragraph" w:styleId="Didascalia">
    <w:name w:val="caption"/>
    <w:basedOn w:val="Normale"/>
    <w:next w:val="Normale"/>
    <w:uiPriority w:val="35"/>
    <w:unhideWhenUsed/>
    <w:qFormat/>
    <w:rsid w:val="002A6A70"/>
    <w:rPr>
      <w:b/>
      <w:bCs/>
      <w:color w:val="1481AB" w:themeColor="accent1" w:themeShade="BF"/>
      <w:sz w:val="16"/>
      <w:szCs w:val="16"/>
    </w:rPr>
  </w:style>
  <w:style w:type="paragraph" w:styleId="Sottotitolo">
    <w:name w:val="Subtitle"/>
    <w:basedOn w:val="Normale"/>
    <w:next w:val="Normale"/>
    <w:link w:val="SottotitoloCarattere"/>
    <w:uiPriority w:val="11"/>
    <w:qFormat/>
    <w:rsid w:val="002A6A70"/>
    <w:pPr>
      <w:spacing w:before="0" w:after="500" w:line="240" w:lineRule="auto"/>
    </w:pPr>
    <w:rPr>
      <w:caps/>
      <w:color w:val="595959" w:themeColor="text1" w:themeTint="A6"/>
      <w:spacing w:val="10"/>
      <w:sz w:val="21"/>
      <w:szCs w:val="21"/>
    </w:rPr>
  </w:style>
  <w:style w:type="character" w:customStyle="1" w:styleId="SottotitoloCarattere">
    <w:name w:val="Sottotitolo Carattere"/>
    <w:basedOn w:val="Carpredefinitoparagrafo"/>
    <w:link w:val="Sottotitolo"/>
    <w:uiPriority w:val="11"/>
    <w:rsid w:val="002A6A70"/>
    <w:rPr>
      <w:caps/>
      <w:color w:val="595959" w:themeColor="text1" w:themeTint="A6"/>
      <w:spacing w:val="10"/>
      <w:sz w:val="21"/>
      <w:szCs w:val="21"/>
    </w:rPr>
  </w:style>
  <w:style w:type="character" w:styleId="Enfasigrassetto">
    <w:name w:val="Strong"/>
    <w:uiPriority w:val="22"/>
    <w:qFormat/>
    <w:rsid w:val="002A6A70"/>
    <w:rPr>
      <w:b/>
      <w:bCs/>
    </w:rPr>
  </w:style>
  <w:style w:type="character" w:styleId="Enfasicorsivo">
    <w:name w:val="Emphasis"/>
    <w:uiPriority w:val="20"/>
    <w:qFormat/>
    <w:rsid w:val="002A6A70"/>
    <w:rPr>
      <w:caps/>
      <w:color w:val="0D5571" w:themeColor="accent1" w:themeShade="7F"/>
      <w:spacing w:val="5"/>
    </w:rPr>
  </w:style>
  <w:style w:type="paragraph" w:styleId="Nessunaspaziatura">
    <w:name w:val="No Spacing"/>
    <w:uiPriority w:val="1"/>
    <w:qFormat/>
    <w:rsid w:val="002A6A70"/>
    <w:pPr>
      <w:spacing w:after="0" w:line="240" w:lineRule="auto"/>
    </w:pPr>
  </w:style>
  <w:style w:type="paragraph" w:styleId="Citazione">
    <w:name w:val="Quote"/>
    <w:basedOn w:val="Normale"/>
    <w:next w:val="Normale"/>
    <w:link w:val="CitazioneCarattere"/>
    <w:uiPriority w:val="29"/>
    <w:qFormat/>
    <w:rsid w:val="002A6A70"/>
    <w:rPr>
      <w:i/>
      <w:iCs/>
      <w:sz w:val="24"/>
      <w:szCs w:val="24"/>
    </w:rPr>
  </w:style>
  <w:style w:type="character" w:customStyle="1" w:styleId="CitazioneCarattere">
    <w:name w:val="Citazione Carattere"/>
    <w:basedOn w:val="Carpredefinitoparagrafo"/>
    <w:link w:val="Citazione"/>
    <w:uiPriority w:val="29"/>
    <w:rsid w:val="002A6A70"/>
    <w:rPr>
      <w:i/>
      <w:iCs/>
      <w:sz w:val="24"/>
      <w:szCs w:val="24"/>
    </w:rPr>
  </w:style>
  <w:style w:type="paragraph" w:styleId="Citazioneintensa">
    <w:name w:val="Intense Quote"/>
    <w:basedOn w:val="Normale"/>
    <w:next w:val="Normale"/>
    <w:link w:val="CitazioneintensaCarattere"/>
    <w:uiPriority w:val="30"/>
    <w:qFormat/>
    <w:rsid w:val="002A6A70"/>
    <w:pPr>
      <w:spacing w:before="240" w:after="240" w:line="240" w:lineRule="auto"/>
      <w:ind w:left="1080" w:right="1080"/>
      <w:jc w:val="center"/>
    </w:pPr>
    <w:rPr>
      <w:color w:val="1CADE4" w:themeColor="accent1"/>
      <w:sz w:val="24"/>
      <w:szCs w:val="24"/>
    </w:rPr>
  </w:style>
  <w:style w:type="character" w:customStyle="1" w:styleId="CitazioneintensaCarattere">
    <w:name w:val="Citazione intensa Carattere"/>
    <w:basedOn w:val="Carpredefinitoparagrafo"/>
    <w:link w:val="Citazioneintensa"/>
    <w:uiPriority w:val="30"/>
    <w:rsid w:val="002A6A70"/>
    <w:rPr>
      <w:color w:val="1CADE4" w:themeColor="accent1"/>
      <w:sz w:val="24"/>
      <w:szCs w:val="24"/>
    </w:rPr>
  </w:style>
  <w:style w:type="character" w:styleId="Enfasidelicata">
    <w:name w:val="Subtle Emphasis"/>
    <w:uiPriority w:val="19"/>
    <w:qFormat/>
    <w:rsid w:val="002A6A70"/>
    <w:rPr>
      <w:i/>
      <w:iCs/>
      <w:color w:val="0D5571" w:themeColor="accent1" w:themeShade="7F"/>
    </w:rPr>
  </w:style>
  <w:style w:type="character" w:styleId="Enfasiintensa">
    <w:name w:val="Intense Emphasis"/>
    <w:uiPriority w:val="21"/>
    <w:qFormat/>
    <w:rsid w:val="002A6A70"/>
    <w:rPr>
      <w:b/>
      <w:bCs/>
      <w:caps/>
      <w:color w:val="0D5571" w:themeColor="accent1" w:themeShade="7F"/>
      <w:spacing w:val="10"/>
    </w:rPr>
  </w:style>
  <w:style w:type="character" w:styleId="Riferimentodelicato">
    <w:name w:val="Subtle Reference"/>
    <w:uiPriority w:val="31"/>
    <w:qFormat/>
    <w:rsid w:val="002A6A70"/>
    <w:rPr>
      <w:b/>
      <w:bCs/>
      <w:color w:val="1CADE4" w:themeColor="accent1"/>
    </w:rPr>
  </w:style>
  <w:style w:type="character" w:styleId="Riferimentointenso">
    <w:name w:val="Intense Reference"/>
    <w:uiPriority w:val="32"/>
    <w:qFormat/>
    <w:rsid w:val="002A6A70"/>
    <w:rPr>
      <w:b/>
      <w:bCs/>
      <w:i/>
      <w:iCs/>
      <w:caps/>
      <w:color w:val="1CADE4" w:themeColor="accent1"/>
    </w:rPr>
  </w:style>
  <w:style w:type="character" w:styleId="Titolodellibro">
    <w:name w:val="Book Title"/>
    <w:uiPriority w:val="33"/>
    <w:qFormat/>
    <w:rsid w:val="002A6A70"/>
    <w:rPr>
      <w:b/>
      <w:bCs/>
      <w:i/>
      <w:iCs/>
      <w:spacing w:val="0"/>
    </w:rPr>
  </w:style>
  <w:style w:type="paragraph" w:styleId="Titolosommario">
    <w:name w:val="TOC Heading"/>
    <w:basedOn w:val="Titolo1"/>
    <w:next w:val="Normale"/>
    <w:uiPriority w:val="39"/>
    <w:unhideWhenUsed/>
    <w:qFormat/>
    <w:rsid w:val="002A6A70"/>
    <w:pPr>
      <w:outlineLvl w:val="9"/>
    </w:pPr>
  </w:style>
  <w:style w:type="paragraph" w:styleId="Paragrafoelenco">
    <w:name w:val="List Paragraph"/>
    <w:basedOn w:val="Normale"/>
    <w:uiPriority w:val="34"/>
    <w:qFormat/>
    <w:rsid w:val="00A93223"/>
    <w:pPr>
      <w:ind w:left="720"/>
      <w:contextualSpacing/>
    </w:pPr>
  </w:style>
  <w:style w:type="paragraph" w:styleId="Sommario1">
    <w:name w:val="toc 1"/>
    <w:basedOn w:val="Normale"/>
    <w:next w:val="Normale"/>
    <w:autoRedefine/>
    <w:uiPriority w:val="39"/>
    <w:unhideWhenUsed/>
    <w:rsid w:val="0019075B"/>
    <w:pPr>
      <w:spacing w:after="100"/>
    </w:pPr>
  </w:style>
  <w:style w:type="character" w:styleId="Collegamentoipertestuale">
    <w:name w:val="Hyperlink"/>
    <w:basedOn w:val="Carpredefinitoparagrafo"/>
    <w:uiPriority w:val="99"/>
    <w:unhideWhenUsed/>
    <w:rsid w:val="0019075B"/>
    <w:rPr>
      <w:color w:val="6EAC1C" w:themeColor="hyperlink"/>
      <w:u w:val="single"/>
    </w:rPr>
  </w:style>
  <w:style w:type="paragraph" w:styleId="Testonotaapidipagina">
    <w:name w:val="footnote text"/>
    <w:basedOn w:val="Normale"/>
    <w:link w:val="TestonotaapidipaginaCarattere"/>
    <w:uiPriority w:val="99"/>
    <w:semiHidden/>
    <w:unhideWhenUsed/>
    <w:rsid w:val="00FC6A3B"/>
    <w:pPr>
      <w:spacing w:before="0" w:after="0" w:line="240" w:lineRule="auto"/>
    </w:pPr>
  </w:style>
  <w:style w:type="character" w:customStyle="1" w:styleId="TestonotaapidipaginaCarattere">
    <w:name w:val="Testo nota a piè di pagina Carattere"/>
    <w:basedOn w:val="Carpredefinitoparagrafo"/>
    <w:link w:val="Testonotaapidipagina"/>
    <w:uiPriority w:val="99"/>
    <w:semiHidden/>
    <w:rsid w:val="00FC6A3B"/>
  </w:style>
  <w:style w:type="character" w:styleId="Rimandonotaapidipagina">
    <w:name w:val="footnote reference"/>
    <w:basedOn w:val="Carpredefinitoparagrafo"/>
    <w:uiPriority w:val="99"/>
    <w:semiHidden/>
    <w:unhideWhenUsed/>
    <w:rsid w:val="00FC6A3B"/>
    <w:rPr>
      <w:vertAlign w:val="superscript"/>
    </w:rPr>
  </w:style>
  <w:style w:type="character" w:customStyle="1" w:styleId="Menzionenonrisolta1">
    <w:name w:val="Menzione non risolta1"/>
    <w:basedOn w:val="Carpredefinitoparagrafo"/>
    <w:uiPriority w:val="99"/>
    <w:semiHidden/>
    <w:unhideWhenUsed/>
    <w:rsid w:val="00FC6A3B"/>
    <w:rPr>
      <w:color w:val="605E5C"/>
      <w:shd w:val="clear" w:color="auto" w:fill="E1DFDD"/>
    </w:rPr>
  </w:style>
  <w:style w:type="paragraph" w:styleId="Testofumetto">
    <w:name w:val="Balloon Text"/>
    <w:basedOn w:val="Normale"/>
    <w:link w:val="TestofumettoCarattere"/>
    <w:uiPriority w:val="99"/>
    <w:semiHidden/>
    <w:unhideWhenUsed/>
    <w:rsid w:val="00F9392B"/>
    <w:pPr>
      <w:spacing w:before="0"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39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07582">
      <w:bodyDiv w:val="1"/>
      <w:marLeft w:val="0"/>
      <w:marRight w:val="0"/>
      <w:marTop w:val="0"/>
      <w:marBottom w:val="0"/>
      <w:divBdr>
        <w:top w:val="none" w:sz="0" w:space="0" w:color="auto"/>
        <w:left w:val="none" w:sz="0" w:space="0" w:color="auto"/>
        <w:bottom w:val="none" w:sz="0" w:space="0" w:color="auto"/>
        <w:right w:val="none" w:sz="0" w:space="0" w:color="auto"/>
      </w:divBdr>
    </w:div>
    <w:div w:id="285477589">
      <w:bodyDiv w:val="1"/>
      <w:marLeft w:val="0"/>
      <w:marRight w:val="0"/>
      <w:marTop w:val="0"/>
      <w:marBottom w:val="0"/>
      <w:divBdr>
        <w:top w:val="none" w:sz="0" w:space="0" w:color="auto"/>
        <w:left w:val="none" w:sz="0" w:space="0" w:color="auto"/>
        <w:bottom w:val="none" w:sz="0" w:space="0" w:color="auto"/>
        <w:right w:val="none" w:sz="0" w:space="0" w:color="auto"/>
      </w:divBdr>
    </w:div>
    <w:div w:id="360055611">
      <w:bodyDiv w:val="1"/>
      <w:marLeft w:val="0"/>
      <w:marRight w:val="0"/>
      <w:marTop w:val="0"/>
      <w:marBottom w:val="0"/>
      <w:divBdr>
        <w:top w:val="none" w:sz="0" w:space="0" w:color="auto"/>
        <w:left w:val="none" w:sz="0" w:space="0" w:color="auto"/>
        <w:bottom w:val="none" w:sz="0" w:space="0" w:color="auto"/>
        <w:right w:val="none" w:sz="0" w:space="0" w:color="auto"/>
      </w:divBdr>
    </w:div>
    <w:div w:id="420570161">
      <w:bodyDiv w:val="1"/>
      <w:marLeft w:val="0"/>
      <w:marRight w:val="0"/>
      <w:marTop w:val="0"/>
      <w:marBottom w:val="0"/>
      <w:divBdr>
        <w:top w:val="none" w:sz="0" w:space="0" w:color="auto"/>
        <w:left w:val="none" w:sz="0" w:space="0" w:color="auto"/>
        <w:bottom w:val="none" w:sz="0" w:space="0" w:color="auto"/>
        <w:right w:val="none" w:sz="0" w:space="0" w:color="auto"/>
      </w:divBdr>
    </w:div>
    <w:div w:id="615797087">
      <w:bodyDiv w:val="1"/>
      <w:marLeft w:val="0"/>
      <w:marRight w:val="0"/>
      <w:marTop w:val="0"/>
      <w:marBottom w:val="0"/>
      <w:divBdr>
        <w:top w:val="none" w:sz="0" w:space="0" w:color="auto"/>
        <w:left w:val="none" w:sz="0" w:space="0" w:color="auto"/>
        <w:bottom w:val="none" w:sz="0" w:space="0" w:color="auto"/>
        <w:right w:val="none" w:sz="0" w:space="0" w:color="auto"/>
      </w:divBdr>
    </w:div>
    <w:div w:id="640885103">
      <w:bodyDiv w:val="1"/>
      <w:marLeft w:val="0"/>
      <w:marRight w:val="0"/>
      <w:marTop w:val="0"/>
      <w:marBottom w:val="0"/>
      <w:divBdr>
        <w:top w:val="none" w:sz="0" w:space="0" w:color="auto"/>
        <w:left w:val="none" w:sz="0" w:space="0" w:color="auto"/>
        <w:bottom w:val="none" w:sz="0" w:space="0" w:color="auto"/>
        <w:right w:val="none" w:sz="0" w:space="0" w:color="auto"/>
      </w:divBdr>
    </w:div>
    <w:div w:id="700206600">
      <w:bodyDiv w:val="1"/>
      <w:marLeft w:val="0"/>
      <w:marRight w:val="0"/>
      <w:marTop w:val="0"/>
      <w:marBottom w:val="0"/>
      <w:divBdr>
        <w:top w:val="none" w:sz="0" w:space="0" w:color="auto"/>
        <w:left w:val="none" w:sz="0" w:space="0" w:color="auto"/>
        <w:bottom w:val="none" w:sz="0" w:space="0" w:color="auto"/>
        <w:right w:val="none" w:sz="0" w:space="0" w:color="auto"/>
      </w:divBdr>
    </w:div>
    <w:div w:id="757408334">
      <w:bodyDiv w:val="1"/>
      <w:marLeft w:val="0"/>
      <w:marRight w:val="0"/>
      <w:marTop w:val="0"/>
      <w:marBottom w:val="0"/>
      <w:divBdr>
        <w:top w:val="none" w:sz="0" w:space="0" w:color="auto"/>
        <w:left w:val="none" w:sz="0" w:space="0" w:color="auto"/>
        <w:bottom w:val="none" w:sz="0" w:space="0" w:color="auto"/>
        <w:right w:val="none" w:sz="0" w:space="0" w:color="auto"/>
      </w:divBdr>
    </w:div>
    <w:div w:id="1148789621">
      <w:bodyDiv w:val="1"/>
      <w:marLeft w:val="0"/>
      <w:marRight w:val="0"/>
      <w:marTop w:val="0"/>
      <w:marBottom w:val="0"/>
      <w:divBdr>
        <w:top w:val="none" w:sz="0" w:space="0" w:color="auto"/>
        <w:left w:val="none" w:sz="0" w:space="0" w:color="auto"/>
        <w:bottom w:val="none" w:sz="0" w:space="0" w:color="auto"/>
        <w:right w:val="none" w:sz="0" w:space="0" w:color="auto"/>
      </w:divBdr>
    </w:div>
    <w:div w:id="1210533012">
      <w:bodyDiv w:val="1"/>
      <w:marLeft w:val="0"/>
      <w:marRight w:val="0"/>
      <w:marTop w:val="0"/>
      <w:marBottom w:val="0"/>
      <w:divBdr>
        <w:top w:val="none" w:sz="0" w:space="0" w:color="auto"/>
        <w:left w:val="none" w:sz="0" w:space="0" w:color="auto"/>
        <w:bottom w:val="none" w:sz="0" w:space="0" w:color="auto"/>
        <w:right w:val="none" w:sz="0" w:space="0" w:color="auto"/>
      </w:divBdr>
    </w:div>
    <w:div w:id="1215197158">
      <w:bodyDiv w:val="1"/>
      <w:marLeft w:val="0"/>
      <w:marRight w:val="0"/>
      <w:marTop w:val="0"/>
      <w:marBottom w:val="0"/>
      <w:divBdr>
        <w:top w:val="none" w:sz="0" w:space="0" w:color="auto"/>
        <w:left w:val="none" w:sz="0" w:space="0" w:color="auto"/>
        <w:bottom w:val="none" w:sz="0" w:space="0" w:color="auto"/>
        <w:right w:val="none" w:sz="0" w:space="0" w:color="auto"/>
      </w:divBdr>
    </w:div>
    <w:div w:id="1288006088">
      <w:bodyDiv w:val="1"/>
      <w:marLeft w:val="0"/>
      <w:marRight w:val="0"/>
      <w:marTop w:val="0"/>
      <w:marBottom w:val="0"/>
      <w:divBdr>
        <w:top w:val="none" w:sz="0" w:space="0" w:color="auto"/>
        <w:left w:val="none" w:sz="0" w:space="0" w:color="auto"/>
        <w:bottom w:val="none" w:sz="0" w:space="0" w:color="auto"/>
        <w:right w:val="none" w:sz="0" w:space="0" w:color="auto"/>
      </w:divBdr>
      <w:divsChild>
        <w:div w:id="2027829762">
          <w:marLeft w:val="0"/>
          <w:marRight w:val="0"/>
          <w:marTop w:val="0"/>
          <w:marBottom w:val="0"/>
          <w:divBdr>
            <w:top w:val="none" w:sz="0" w:space="0" w:color="auto"/>
            <w:left w:val="none" w:sz="0" w:space="0" w:color="auto"/>
            <w:bottom w:val="none" w:sz="0" w:space="0" w:color="auto"/>
            <w:right w:val="none" w:sz="0" w:space="0" w:color="auto"/>
          </w:divBdr>
        </w:div>
        <w:div w:id="1818064055">
          <w:marLeft w:val="0"/>
          <w:marRight w:val="0"/>
          <w:marTop w:val="0"/>
          <w:marBottom w:val="0"/>
          <w:divBdr>
            <w:top w:val="none" w:sz="0" w:space="0" w:color="auto"/>
            <w:left w:val="none" w:sz="0" w:space="0" w:color="auto"/>
            <w:bottom w:val="none" w:sz="0" w:space="0" w:color="auto"/>
            <w:right w:val="none" w:sz="0" w:space="0" w:color="auto"/>
          </w:divBdr>
        </w:div>
      </w:divsChild>
    </w:div>
    <w:div w:id="1369066672">
      <w:bodyDiv w:val="1"/>
      <w:marLeft w:val="0"/>
      <w:marRight w:val="0"/>
      <w:marTop w:val="0"/>
      <w:marBottom w:val="0"/>
      <w:divBdr>
        <w:top w:val="none" w:sz="0" w:space="0" w:color="auto"/>
        <w:left w:val="none" w:sz="0" w:space="0" w:color="auto"/>
        <w:bottom w:val="none" w:sz="0" w:space="0" w:color="auto"/>
        <w:right w:val="none" w:sz="0" w:space="0" w:color="auto"/>
      </w:divBdr>
    </w:div>
    <w:div w:id="1413309581">
      <w:bodyDiv w:val="1"/>
      <w:marLeft w:val="0"/>
      <w:marRight w:val="0"/>
      <w:marTop w:val="0"/>
      <w:marBottom w:val="0"/>
      <w:divBdr>
        <w:top w:val="none" w:sz="0" w:space="0" w:color="auto"/>
        <w:left w:val="none" w:sz="0" w:space="0" w:color="auto"/>
        <w:bottom w:val="none" w:sz="0" w:space="0" w:color="auto"/>
        <w:right w:val="none" w:sz="0" w:space="0" w:color="auto"/>
      </w:divBdr>
    </w:div>
    <w:div w:id="1722512941">
      <w:bodyDiv w:val="1"/>
      <w:marLeft w:val="0"/>
      <w:marRight w:val="0"/>
      <w:marTop w:val="0"/>
      <w:marBottom w:val="0"/>
      <w:divBdr>
        <w:top w:val="none" w:sz="0" w:space="0" w:color="auto"/>
        <w:left w:val="none" w:sz="0" w:space="0" w:color="auto"/>
        <w:bottom w:val="none" w:sz="0" w:space="0" w:color="auto"/>
        <w:right w:val="none" w:sz="0" w:space="0" w:color="auto"/>
      </w:divBdr>
    </w:div>
    <w:div w:id="1856189773">
      <w:bodyDiv w:val="1"/>
      <w:marLeft w:val="0"/>
      <w:marRight w:val="0"/>
      <w:marTop w:val="0"/>
      <w:marBottom w:val="0"/>
      <w:divBdr>
        <w:top w:val="none" w:sz="0" w:space="0" w:color="auto"/>
        <w:left w:val="none" w:sz="0" w:space="0" w:color="auto"/>
        <w:bottom w:val="none" w:sz="0" w:space="0" w:color="auto"/>
        <w:right w:val="none" w:sz="0" w:space="0" w:color="auto"/>
      </w:divBdr>
    </w:div>
    <w:div w:id="1915360829">
      <w:bodyDiv w:val="1"/>
      <w:marLeft w:val="0"/>
      <w:marRight w:val="0"/>
      <w:marTop w:val="0"/>
      <w:marBottom w:val="0"/>
      <w:divBdr>
        <w:top w:val="none" w:sz="0" w:space="0" w:color="auto"/>
        <w:left w:val="none" w:sz="0" w:space="0" w:color="auto"/>
        <w:bottom w:val="none" w:sz="0" w:space="0" w:color="auto"/>
        <w:right w:val="none" w:sz="0" w:space="0" w:color="auto"/>
      </w:divBdr>
    </w:div>
    <w:div w:id="1922325787">
      <w:bodyDiv w:val="1"/>
      <w:marLeft w:val="0"/>
      <w:marRight w:val="0"/>
      <w:marTop w:val="0"/>
      <w:marBottom w:val="0"/>
      <w:divBdr>
        <w:top w:val="none" w:sz="0" w:space="0" w:color="auto"/>
        <w:left w:val="none" w:sz="0" w:space="0" w:color="auto"/>
        <w:bottom w:val="none" w:sz="0" w:space="0" w:color="auto"/>
        <w:right w:val="none" w:sz="0" w:space="0" w:color="auto"/>
      </w:divBdr>
    </w:div>
    <w:div w:id="2067412577">
      <w:bodyDiv w:val="1"/>
      <w:marLeft w:val="0"/>
      <w:marRight w:val="0"/>
      <w:marTop w:val="0"/>
      <w:marBottom w:val="0"/>
      <w:divBdr>
        <w:top w:val="none" w:sz="0" w:space="0" w:color="auto"/>
        <w:left w:val="none" w:sz="0" w:space="0" w:color="auto"/>
        <w:bottom w:val="none" w:sz="0" w:space="0" w:color="auto"/>
        <w:right w:val="none" w:sz="0" w:space="0" w:color="auto"/>
      </w:divBdr>
    </w:div>
    <w:div w:id="210294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Blu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EE640-16D2-44BF-AC67-150DCE7E5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2348</Words>
  <Characters>13384</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Bottone</dc:creator>
  <cp:lastModifiedBy>Luigi Bottone</cp:lastModifiedBy>
  <cp:revision>7</cp:revision>
  <dcterms:created xsi:type="dcterms:W3CDTF">2021-10-12T10:20:00Z</dcterms:created>
  <dcterms:modified xsi:type="dcterms:W3CDTF">2021-10-12T10:27:00Z</dcterms:modified>
</cp:coreProperties>
</file>